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11" w:rsidRPr="004D54E7" w:rsidRDefault="00553811" w:rsidP="00553811">
      <w:pPr>
        <w:jc w:val="center"/>
        <w:rPr>
          <w:rFonts w:cs="Arial"/>
        </w:rPr>
      </w:pPr>
    </w:p>
    <w:p w:rsidR="00553811" w:rsidRPr="004D54E7" w:rsidRDefault="00553811" w:rsidP="00553811">
      <w:pPr>
        <w:jc w:val="center"/>
        <w:rPr>
          <w:rFonts w:cs="Arial"/>
        </w:rPr>
      </w:pPr>
    </w:p>
    <w:p w:rsidR="00553811" w:rsidRPr="004D54E7" w:rsidRDefault="00553811" w:rsidP="00553811">
      <w:pPr>
        <w:jc w:val="center"/>
        <w:rPr>
          <w:rFonts w:cs="Arial"/>
        </w:rPr>
      </w:pPr>
    </w:p>
    <w:p w:rsidR="00553811" w:rsidRPr="004D54E7" w:rsidRDefault="00553811" w:rsidP="00553811">
      <w:pPr>
        <w:jc w:val="center"/>
        <w:rPr>
          <w:rFonts w:cs="Arial"/>
        </w:rPr>
      </w:pPr>
    </w:p>
    <w:p w:rsidR="00553811" w:rsidRPr="004D54E7" w:rsidRDefault="00553811" w:rsidP="00553811">
      <w:pPr>
        <w:jc w:val="center"/>
        <w:rPr>
          <w:rFonts w:cs="Arial"/>
        </w:rPr>
      </w:pPr>
    </w:p>
    <w:p w:rsidR="00553811" w:rsidRPr="004D54E7" w:rsidRDefault="00553811" w:rsidP="00553811">
      <w:pPr>
        <w:jc w:val="center"/>
        <w:rPr>
          <w:rFonts w:cs="Arial"/>
        </w:rPr>
      </w:pPr>
    </w:p>
    <w:p w:rsidR="00553811" w:rsidRPr="004D54E7" w:rsidRDefault="00553811" w:rsidP="00553811">
      <w:pPr>
        <w:jc w:val="center"/>
        <w:rPr>
          <w:rFonts w:cs="Arial"/>
        </w:rPr>
      </w:pPr>
    </w:p>
    <w:p w:rsidR="00553811" w:rsidRPr="004D54E7" w:rsidRDefault="00553811" w:rsidP="00553811">
      <w:pPr>
        <w:jc w:val="center"/>
        <w:rPr>
          <w:rFonts w:cs="Arial"/>
        </w:rPr>
      </w:pPr>
    </w:p>
    <w:p w:rsidR="00553811" w:rsidRDefault="005869FD" w:rsidP="00553811">
      <w:pPr>
        <w:pStyle w:val="Title"/>
      </w:pPr>
      <w:bookmarkStart w:id="0" w:name="_Toc271030683"/>
      <w:bookmarkStart w:id="1" w:name="_Toc271031694"/>
      <w:bookmarkStart w:id="2" w:name="_Toc297889271"/>
      <w:bookmarkStart w:id="3" w:name="_Toc473811273"/>
      <w:r>
        <w:rPr>
          <w:noProof/>
          <w:lang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0145919" r:id="rId9"/>
        </w:object>
      </w:r>
    </w:p>
    <w:p w:rsidR="00553811" w:rsidRDefault="00553811" w:rsidP="00553811">
      <w:pPr>
        <w:pStyle w:val="Title"/>
      </w:pPr>
    </w:p>
    <w:p w:rsidR="00553811" w:rsidRPr="00BF5A61" w:rsidRDefault="00553811" w:rsidP="00553811"/>
    <w:p w:rsidR="00553811" w:rsidRPr="00091075" w:rsidRDefault="00553811" w:rsidP="00553811">
      <w:pPr>
        <w:pStyle w:val="Title"/>
      </w:pPr>
      <w:r>
        <w:t>Northern B Health and Disability Ethics Committee</w:t>
      </w:r>
    </w:p>
    <w:p w:rsidR="00553811" w:rsidRPr="00091075" w:rsidRDefault="00553811" w:rsidP="00553811">
      <w:pPr>
        <w:pStyle w:val="Subtitle"/>
      </w:pPr>
      <w:r>
        <w:t>Annual Report</w:t>
      </w:r>
      <w:r>
        <w:br/>
        <w:t>2015</w:t>
      </w:r>
    </w:p>
    <w:p w:rsidR="00553811" w:rsidRPr="00091075" w:rsidRDefault="00553811" w:rsidP="00553811"/>
    <w:p w:rsidR="00553811" w:rsidRPr="00091075" w:rsidRDefault="00553811" w:rsidP="00553811">
      <w:pPr>
        <w:sectPr w:rsidR="00553811" w:rsidRPr="00091075" w:rsidSect="00553811">
          <w:headerReference w:type="default" r:id="rId10"/>
          <w:pgSz w:w="11907" w:h="16834" w:code="9"/>
          <w:pgMar w:top="3686" w:right="1134" w:bottom="1134" w:left="1134" w:header="567" w:footer="851" w:gutter="0"/>
          <w:pgNumType w:start="1"/>
          <w:cols w:space="720"/>
        </w:sectPr>
      </w:pPr>
    </w:p>
    <w:p w:rsidR="00553811" w:rsidRPr="00282811" w:rsidRDefault="00553811" w:rsidP="00553811">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Northern B</w:t>
      </w:r>
      <w:r w:rsidRPr="00282811">
        <w:rPr>
          <w:rFonts w:ascii="Arial" w:hAnsi="Arial" w:cs="Arial"/>
          <w:i/>
        </w:rPr>
        <w:t xml:space="preserve"> Health and Disability Ethics Committee: Annual Report 201</w:t>
      </w:r>
      <w:r>
        <w:rPr>
          <w:rFonts w:ascii="Arial" w:hAnsi="Arial" w:cs="Arial"/>
          <w:i/>
        </w:rPr>
        <w:t>5</w:t>
      </w:r>
      <w:r w:rsidRPr="00282811">
        <w:rPr>
          <w:rFonts w:ascii="Arial" w:hAnsi="Arial" w:cs="Arial"/>
          <w:i/>
        </w:rPr>
        <w:t xml:space="preserve">. </w:t>
      </w:r>
      <w:r w:rsidRPr="00282811">
        <w:rPr>
          <w:rFonts w:ascii="Arial" w:hAnsi="Arial" w:cs="Arial"/>
        </w:rPr>
        <w:t>Wellington: Ministry of Health.</w:t>
      </w:r>
    </w:p>
    <w:p w:rsidR="00553811" w:rsidRPr="00282811" w:rsidRDefault="00553811" w:rsidP="00553811">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rsidR="00553811" w:rsidRPr="00282811" w:rsidRDefault="00553811" w:rsidP="00553811">
      <w:pPr>
        <w:pStyle w:val="Imprint"/>
        <w:rPr>
          <w:rFonts w:ascii="Arial" w:hAnsi="Arial" w:cs="Arial"/>
        </w:rPr>
      </w:pPr>
      <w:r w:rsidRPr="00282811">
        <w:rPr>
          <w:rFonts w:ascii="Arial" w:hAnsi="Arial" w:cs="Arial"/>
        </w:rPr>
        <w:t>ISBN 978-1-98-8568</w:t>
      </w:r>
      <w:r>
        <w:rPr>
          <w:rFonts w:ascii="Arial" w:hAnsi="Arial" w:cs="Arial"/>
        </w:rPr>
        <w:t>04</w:t>
      </w:r>
      <w:r w:rsidRPr="00282811">
        <w:rPr>
          <w:rFonts w:ascii="Arial" w:hAnsi="Arial" w:cs="Arial"/>
        </w:rPr>
        <w:t>-</w:t>
      </w:r>
      <w:r>
        <w:rPr>
          <w:rFonts w:ascii="Arial" w:hAnsi="Arial" w:cs="Arial"/>
        </w:rPr>
        <w:t>1</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6950</w:t>
      </w:r>
    </w:p>
    <w:p w:rsidR="00553811" w:rsidRPr="00282811" w:rsidRDefault="00553811" w:rsidP="00553811">
      <w:pPr>
        <w:rPr>
          <w:rFonts w:cs="Arial"/>
        </w:rPr>
      </w:pPr>
    </w:p>
    <w:p w:rsidR="00553811" w:rsidRPr="00282811" w:rsidRDefault="00553811" w:rsidP="00553811">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553811" w:rsidRPr="00091075" w:rsidTr="00553811">
        <w:trPr>
          <w:cantSplit/>
        </w:trPr>
        <w:tc>
          <w:tcPr>
            <w:tcW w:w="1526" w:type="dxa"/>
          </w:tcPr>
          <w:p w:rsidR="00553811" w:rsidRPr="00091075" w:rsidRDefault="00553811" w:rsidP="00553811">
            <w:pPr>
              <w:rPr>
                <w:rFonts w:cs="Segoe UI"/>
                <w:sz w:val="15"/>
                <w:szCs w:val="15"/>
              </w:rPr>
            </w:pPr>
            <w:r w:rsidRPr="00091075">
              <w:rPr>
                <w:rFonts w:cs="Segoe UI"/>
                <w:b/>
                <w:noProof/>
                <w:sz w:val="15"/>
                <w:szCs w:val="15"/>
                <w:lang w:val="en-NZ" w:eastAsia="en-NZ"/>
              </w:rPr>
              <w:drawing>
                <wp:inline distT="0" distB="0" distL="0" distR="0" wp14:anchorId="4E8B08F3" wp14:editId="46E34451">
                  <wp:extent cx="809625" cy="285750"/>
                  <wp:effectExtent l="0" t="0" r="9525" b="0"/>
                  <wp:docPr id="1"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553811" w:rsidRPr="00091075" w:rsidRDefault="00553811" w:rsidP="00553811">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rsidR="00553811" w:rsidRPr="00091075" w:rsidRDefault="00553811" w:rsidP="00553811"/>
    <w:p w:rsidR="00553811" w:rsidRPr="00091075" w:rsidRDefault="00553811" w:rsidP="00553811">
      <w:pPr>
        <w:jc w:val="center"/>
        <w:sectPr w:rsidR="00553811" w:rsidRPr="00091075" w:rsidSect="00553811">
          <w:footerReference w:type="even" r:id="rId12"/>
          <w:footerReference w:type="default" r:id="rId13"/>
          <w:pgSz w:w="11907" w:h="16834" w:code="9"/>
          <w:pgMar w:top="1701" w:right="2268" w:bottom="1134" w:left="2268" w:header="0" w:footer="0" w:gutter="0"/>
          <w:cols w:space="720"/>
          <w:vAlign w:val="bottom"/>
        </w:sectPr>
      </w:pPr>
    </w:p>
    <w:p w:rsidR="00553811" w:rsidRPr="004D54E7" w:rsidRDefault="00553811" w:rsidP="00553811">
      <w:pPr>
        <w:pStyle w:val="Heading1"/>
        <w:rPr>
          <w:rFonts w:cs="Arial"/>
        </w:rPr>
      </w:pPr>
      <w:bookmarkStart w:id="4" w:name="_Toc525811587"/>
      <w:bookmarkStart w:id="5" w:name="_Toc526316763"/>
      <w:bookmarkStart w:id="6" w:name="_Toc526403838"/>
      <w:bookmarkEnd w:id="0"/>
      <w:bookmarkEnd w:id="1"/>
      <w:bookmarkEnd w:id="2"/>
      <w:bookmarkEnd w:id="3"/>
      <w:r w:rsidRPr="004D54E7">
        <w:rPr>
          <w:rFonts w:cs="Arial"/>
        </w:rPr>
        <w:lastRenderedPageBreak/>
        <w:t>Contents</w:t>
      </w:r>
      <w:bookmarkEnd w:id="4"/>
      <w:bookmarkEnd w:id="5"/>
      <w:bookmarkEnd w:id="6"/>
    </w:p>
    <w:bookmarkStart w:id="7" w:name="_GoBack"/>
    <w:bookmarkEnd w:id="7"/>
    <w:p w:rsidR="005869FD" w:rsidRDefault="0040216C">
      <w:pPr>
        <w:pStyle w:val="TOC1"/>
        <w:rPr>
          <w:rFonts w:asciiTheme="minorHAnsi" w:eastAsiaTheme="minorEastAsia" w:hAnsiTheme="minorHAnsi" w:cstheme="minorBidi"/>
          <w:b w:val="0"/>
          <w:noProof/>
          <w:sz w:val="22"/>
          <w:szCs w:val="22"/>
          <w:lang w:val="en-NZ" w:eastAsia="en-NZ"/>
        </w:rPr>
      </w:pPr>
      <w:r w:rsidRPr="007D230E">
        <w:rPr>
          <w:rFonts w:cs="Arial"/>
          <w:lang w:val="en-NZ"/>
        </w:rPr>
        <w:fldChar w:fldCharType="begin"/>
      </w:r>
      <w:r w:rsidRPr="007D230E">
        <w:rPr>
          <w:rFonts w:cs="Arial"/>
          <w:lang w:val="en-NZ"/>
        </w:rPr>
        <w:instrText xml:space="preserve"> TOC \o "1-2" \h \z \u </w:instrText>
      </w:r>
      <w:r w:rsidRPr="007D230E">
        <w:rPr>
          <w:rFonts w:cs="Arial"/>
          <w:lang w:val="en-NZ"/>
        </w:rPr>
        <w:fldChar w:fldCharType="separate"/>
      </w:r>
      <w:hyperlink w:anchor="_Toc526403839" w:history="1">
        <w:r w:rsidR="005869FD" w:rsidRPr="00C955AE">
          <w:rPr>
            <w:rStyle w:val="Hyperlink"/>
            <w:rFonts w:cs="Arial"/>
            <w:noProof/>
          </w:rPr>
          <w:t>About the committee</w:t>
        </w:r>
        <w:r w:rsidR="005869FD">
          <w:rPr>
            <w:noProof/>
            <w:webHidden/>
          </w:rPr>
          <w:tab/>
        </w:r>
        <w:r w:rsidR="005869FD">
          <w:rPr>
            <w:noProof/>
            <w:webHidden/>
          </w:rPr>
          <w:fldChar w:fldCharType="begin"/>
        </w:r>
        <w:r w:rsidR="005869FD">
          <w:rPr>
            <w:noProof/>
            <w:webHidden/>
          </w:rPr>
          <w:instrText xml:space="preserve"> PAGEREF _Toc526403839 \h </w:instrText>
        </w:r>
        <w:r w:rsidR="005869FD">
          <w:rPr>
            <w:noProof/>
            <w:webHidden/>
          </w:rPr>
        </w:r>
        <w:r w:rsidR="005869FD">
          <w:rPr>
            <w:noProof/>
            <w:webHidden/>
          </w:rPr>
          <w:fldChar w:fldCharType="separate"/>
        </w:r>
        <w:r w:rsidR="005869FD">
          <w:rPr>
            <w:noProof/>
            <w:webHidden/>
          </w:rPr>
          <w:t>1</w:t>
        </w:r>
        <w:r w:rsidR="005869FD">
          <w:rPr>
            <w:noProof/>
            <w:webHidden/>
          </w:rPr>
          <w:fldChar w:fldCharType="end"/>
        </w:r>
      </w:hyperlink>
    </w:p>
    <w:p w:rsidR="005869FD" w:rsidRDefault="005869FD">
      <w:pPr>
        <w:pStyle w:val="TOC1"/>
        <w:rPr>
          <w:rFonts w:asciiTheme="minorHAnsi" w:eastAsiaTheme="minorEastAsia" w:hAnsiTheme="minorHAnsi" w:cstheme="minorBidi"/>
          <w:b w:val="0"/>
          <w:noProof/>
          <w:sz w:val="22"/>
          <w:szCs w:val="22"/>
          <w:lang w:val="en-NZ" w:eastAsia="en-NZ"/>
        </w:rPr>
      </w:pPr>
      <w:hyperlink w:anchor="_Toc526403840" w:history="1">
        <w:r w:rsidRPr="00C955AE">
          <w:rPr>
            <w:rStyle w:val="Hyperlink"/>
            <w:rFonts w:cs="Arial"/>
            <w:noProof/>
          </w:rPr>
          <w:t>Chairperson’s report</w:t>
        </w:r>
        <w:r>
          <w:rPr>
            <w:noProof/>
            <w:webHidden/>
          </w:rPr>
          <w:tab/>
        </w:r>
        <w:r>
          <w:rPr>
            <w:noProof/>
            <w:webHidden/>
          </w:rPr>
          <w:fldChar w:fldCharType="begin"/>
        </w:r>
        <w:r>
          <w:rPr>
            <w:noProof/>
            <w:webHidden/>
          </w:rPr>
          <w:instrText xml:space="preserve"> PAGEREF _Toc526403840 \h </w:instrText>
        </w:r>
        <w:r>
          <w:rPr>
            <w:noProof/>
            <w:webHidden/>
          </w:rPr>
        </w:r>
        <w:r>
          <w:rPr>
            <w:noProof/>
            <w:webHidden/>
          </w:rPr>
          <w:fldChar w:fldCharType="separate"/>
        </w:r>
        <w:r>
          <w:rPr>
            <w:noProof/>
            <w:webHidden/>
          </w:rPr>
          <w:t>2</w:t>
        </w:r>
        <w:r>
          <w:rPr>
            <w:noProof/>
            <w:webHidden/>
          </w:rPr>
          <w:fldChar w:fldCharType="end"/>
        </w:r>
      </w:hyperlink>
    </w:p>
    <w:p w:rsidR="005869FD" w:rsidRDefault="005869FD">
      <w:pPr>
        <w:pStyle w:val="TOC1"/>
        <w:rPr>
          <w:rFonts w:asciiTheme="minorHAnsi" w:eastAsiaTheme="minorEastAsia" w:hAnsiTheme="minorHAnsi" w:cstheme="minorBidi"/>
          <w:b w:val="0"/>
          <w:noProof/>
          <w:sz w:val="22"/>
          <w:szCs w:val="22"/>
          <w:lang w:val="en-NZ" w:eastAsia="en-NZ"/>
        </w:rPr>
      </w:pPr>
      <w:hyperlink w:anchor="_Toc526403841" w:history="1">
        <w:r w:rsidRPr="00C955AE">
          <w:rPr>
            <w:rStyle w:val="Hyperlink"/>
            <w:rFonts w:cs="Arial"/>
            <w:noProof/>
          </w:rPr>
          <w:t>Membership and attendance</w:t>
        </w:r>
        <w:r>
          <w:rPr>
            <w:noProof/>
            <w:webHidden/>
          </w:rPr>
          <w:tab/>
        </w:r>
        <w:r>
          <w:rPr>
            <w:noProof/>
            <w:webHidden/>
          </w:rPr>
          <w:fldChar w:fldCharType="begin"/>
        </w:r>
        <w:r>
          <w:rPr>
            <w:noProof/>
            <w:webHidden/>
          </w:rPr>
          <w:instrText xml:space="preserve"> PAGEREF _Toc526403841 \h </w:instrText>
        </w:r>
        <w:r>
          <w:rPr>
            <w:noProof/>
            <w:webHidden/>
          </w:rPr>
        </w:r>
        <w:r>
          <w:rPr>
            <w:noProof/>
            <w:webHidden/>
          </w:rPr>
          <w:fldChar w:fldCharType="separate"/>
        </w:r>
        <w:r>
          <w:rPr>
            <w:noProof/>
            <w:webHidden/>
          </w:rPr>
          <w:t>3</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42" w:history="1">
        <w:r w:rsidRPr="00C955AE">
          <w:rPr>
            <w:rStyle w:val="Hyperlink"/>
            <w:noProof/>
            <w:lang w:val="en-NZ"/>
          </w:rPr>
          <w:t>Membership</w:t>
        </w:r>
        <w:r>
          <w:rPr>
            <w:noProof/>
            <w:webHidden/>
          </w:rPr>
          <w:tab/>
        </w:r>
        <w:r>
          <w:rPr>
            <w:noProof/>
            <w:webHidden/>
          </w:rPr>
          <w:fldChar w:fldCharType="begin"/>
        </w:r>
        <w:r>
          <w:rPr>
            <w:noProof/>
            <w:webHidden/>
          </w:rPr>
          <w:instrText xml:space="preserve"> PAGEREF _Toc526403842 \h </w:instrText>
        </w:r>
        <w:r>
          <w:rPr>
            <w:noProof/>
            <w:webHidden/>
          </w:rPr>
        </w:r>
        <w:r>
          <w:rPr>
            <w:noProof/>
            <w:webHidden/>
          </w:rPr>
          <w:fldChar w:fldCharType="separate"/>
        </w:r>
        <w:r>
          <w:rPr>
            <w:noProof/>
            <w:webHidden/>
          </w:rPr>
          <w:t>3</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43" w:history="1">
        <w:r w:rsidRPr="00C955AE">
          <w:rPr>
            <w:rStyle w:val="Hyperlink"/>
            <w:noProof/>
            <w:lang w:val="en-NZ"/>
          </w:rPr>
          <w:t>Attendance</w:t>
        </w:r>
        <w:r>
          <w:rPr>
            <w:noProof/>
            <w:webHidden/>
          </w:rPr>
          <w:tab/>
        </w:r>
        <w:r>
          <w:rPr>
            <w:noProof/>
            <w:webHidden/>
          </w:rPr>
          <w:fldChar w:fldCharType="begin"/>
        </w:r>
        <w:r>
          <w:rPr>
            <w:noProof/>
            <w:webHidden/>
          </w:rPr>
          <w:instrText xml:space="preserve"> PAGEREF _Toc526403843 \h </w:instrText>
        </w:r>
        <w:r>
          <w:rPr>
            <w:noProof/>
            <w:webHidden/>
          </w:rPr>
        </w:r>
        <w:r>
          <w:rPr>
            <w:noProof/>
            <w:webHidden/>
          </w:rPr>
          <w:fldChar w:fldCharType="separate"/>
        </w:r>
        <w:r>
          <w:rPr>
            <w:noProof/>
            <w:webHidden/>
          </w:rPr>
          <w:t>6</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44" w:history="1">
        <w:r w:rsidRPr="00C955AE">
          <w:rPr>
            <w:rStyle w:val="Hyperlink"/>
            <w:noProof/>
            <w:lang w:val="en-NZ"/>
          </w:rPr>
          <w:t>Training and conferences</w:t>
        </w:r>
        <w:r>
          <w:rPr>
            <w:noProof/>
            <w:webHidden/>
          </w:rPr>
          <w:tab/>
        </w:r>
        <w:r>
          <w:rPr>
            <w:noProof/>
            <w:webHidden/>
          </w:rPr>
          <w:fldChar w:fldCharType="begin"/>
        </w:r>
        <w:r>
          <w:rPr>
            <w:noProof/>
            <w:webHidden/>
          </w:rPr>
          <w:instrText xml:space="preserve"> PAGEREF _Toc526403844 \h </w:instrText>
        </w:r>
        <w:r>
          <w:rPr>
            <w:noProof/>
            <w:webHidden/>
          </w:rPr>
        </w:r>
        <w:r>
          <w:rPr>
            <w:noProof/>
            <w:webHidden/>
          </w:rPr>
          <w:fldChar w:fldCharType="separate"/>
        </w:r>
        <w:r>
          <w:rPr>
            <w:noProof/>
            <w:webHidden/>
          </w:rPr>
          <w:t>6</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45" w:history="1">
        <w:r w:rsidRPr="00C955AE">
          <w:rPr>
            <w:rStyle w:val="Hyperlink"/>
            <w:noProof/>
            <w:lang w:val="en-NZ"/>
          </w:rPr>
          <w:t>Chairpersons’ meetings</w:t>
        </w:r>
        <w:r>
          <w:rPr>
            <w:noProof/>
            <w:webHidden/>
          </w:rPr>
          <w:tab/>
        </w:r>
        <w:r>
          <w:rPr>
            <w:noProof/>
            <w:webHidden/>
          </w:rPr>
          <w:fldChar w:fldCharType="begin"/>
        </w:r>
        <w:r>
          <w:rPr>
            <w:noProof/>
            <w:webHidden/>
          </w:rPr>
          <w:instrText xml:space="preserve"> PAGEREF _Toc526403845 \h </w:instrText>
        </w:r>
        <w:r>
          <w:rPr>
            <w:noProof/>
            <w:webHidden/>
          </w:rPr>
        </w:r>
        <w:r>
          <w:rPr>
            <w:noProof/>
            <w:webHidden/>
          </w:rPr>
          <w:fldChar w:fldCharType="separate"/>
        </w:r>
        <w:r>
          <w:rPr>
            <w:noProof/>
            <w:webHidden/>
          </w:rPr>
          <w:t>7</w:t>
        </w:r>
        <w:r>
          <w:rPr>
            <w:noProof/>
            <w:webHidden/>
          </w:rPr>
          <w:fldChar w:fldCharType="end"/>
        </w:r>
      </w:hyperlink>
    </w:p>
    <w:p w:rsidR="005869FD" w:rsidRDefault="005869FD">
      <w:pPr>
        <w:pStyle w:val="TOC1"/>
        <w:rPr>
          <w:rFonts w:asciiTheme="minorHAnsi" w:eastAsiaTheme="minorEastAsia" w:hAnsiTheme="minorHAnsi" w:cstheme="minorBidi"/>
          <w:b w:val="0"/>
          <w:noProof/>
          <w:sz w:val="22"/>
          <w:szCs w:val="22"/>
          <w:lang w:val="en-NZ" w:eastAsia="en-NZ"/>
        </w:rPr>
      </w:pPr>
      <w:hyperlink w:anchor="_Toc526403846" w:history="1">
        <w:r w:rsidRPr="00C955AE">
          <w:rPr>
            <w:rStyle w:val="Hyperlink"/>
            <w:rFonts w:cs="Arial"/>
            <w:noProof/>
          </w:rPr>
          <w:t>Applications reviewed</w:t>
        </w:r>
        <w:r>
          <w:rPr>
            <w:noProof/>
            <w:webHidden/>
          </w:rPr>
          <w:tab/>
        </w:r>
        <w:r>
          <w:rPr>
            <w:noProof/>
            <w:webHidden/>
          </w:rPr>
          <w:fldChar w:fldCharType="begin"/>
        </w:r>
        <w:r>
          <w:rPr>
            <w:noProof/>
            <w:webHidden/>
          </w:rPr>
          <w:instrText xml:space="preserve"> PAGEREF _Toc526403846 \h </w:instrText>
        </w:r>
        <w:r>
          <w:rPr>
            <w:noProof/>
            <w:webHidden/>
          </w:rPr>
        </w:r>
        <w:r>
          <w:rPr>
            <w:noProof/>
            <w:webHidden/>
          </w:rPr>
          <w:fldChar w:fldCharType="separate"/>
        </w:r>
        <w:r>
          <w:rPr>
            <w:noProof/>
            <w:webHidden/>
          </w:rPr>
          <w:t>8</w:t>
        </w:r>
        <w:r>
          <w:rPr>
            <w:noProof/>
            <w:webHidden/>
          </w:rPr>
          <w:fldChar w:fldCharType="end"/>
        </w:r>
      </w:hyperlink>
    </w:p>
    <w:p w:rsidR="005869FD" w:rsidRDefault="005869FD">
      <w:pPr>
        <w:pStyle w:val="TOC1"/>
        <w:rPr>
          <w:rFonts w:asciiTheme="minorHAnsi" w:eastAsiaTheme="minorEastAsia" w:hAnsiTheme="minorHAnsi" w:cstheme="minorBidi"/>
          <w:b w:val="0"/>
          <w:noProof/>
          <w:sz w:val="22"/>
          <w:szCs w:val="22"/>
          <w:lang w:val="en-NZ" w:eastAsia="en-NZ"/>
        </w:rPr>
      </w:pPr>
      <w:hyperlink w:anchor="_Toc526403847" w:history="1">
        <w:r w:rsidRPr="00C955AE">
          <w:rPr>
            <w:rStyle w:val="Hyperlink"/>
            <w:noProof/>
          </w:rPr>
          <w:t>Complaints and overdue application summary</w:t>
        </w:r>
        <w:r>
          <w:rPr>
            <w:noProof/>
            <w:webHidden/>
          </w:rPr>
          <w:tab/>
        </w:r>
        <w:r>
          <w:rPr>
            <w:noProof/>
            <w:webHidden/>
          </w:rPr>
          <w:fldChar w:fldCharType="begin"/>
        </w:r>
        <w:r>
          <w:rPr>
            <w:noProof/>
            <w:webHidden/>
          </w:rPr>
          <w:instrText xml:space="preserve"> PAGEREF _Toc526403847 \h </w:instrText>
        </w:r>
        <w:r>
          <w:rPr>
            <w:noProof/>
            <w:webHidden/>
          </w:rPr>
        </w:r>
        <w:r>
          <w:rPr>
            <w:noProof/>
            <w:webHidden/>
          </w:rPr>
          <w:fldChar w:fldCharType="separate"/>
        </w:r>
        <w:r>
          <w:rPr>
            <w:noProof/>
            <w:webHidden/>
          </w:rPr>
          <w:t>8</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48" w:history="1">
        <w:r w:rsidRPr="00C955AE">
          <w:rPr>
            <w:rStyle w:val="Hyperlink"/>
            <w:noProof/>
          </w:rPr>
          <w:t>Complaints received</w:t>
        </w:r>
        <w:r>
          <w:rPr>
            <w:noProof/>
            <w:webHidden/>
          </w:rPr>
          <w:tab/>
        </w:r>
        <w:r>
          <w:rPr>
            <w:noProof/>
            <w:webHidden/>
          </w:rPr>
          <w:fldChar w:fldCharType="begin"/>
        </w:r>
        <w:r>
          <w:rPr>
            <w:noProof/>
            <w:webHidden/>
          </w:rPr>
          <w:instrText xml:space="preserve"> PAGEREF _Toc526403848 \h </w:instrText>
        </w:r>
        <w:r>
          <w:rPr>
            <w:noProof/>
            <w:webHidden/>
          </w:rPr>
        </w:r>
        <w:r>
          <w:rPr>
            <w:noProof/>
            <w:webHidden/>
          </w:rPr>
          <w:fldChar w:fldCharType="separate"/>
        </w:r>
        <w:r>
          <w:rPr>
            <w:noProof/>
            <w:webHidden/>
          </w:rPr>
          <w:t>8</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49" w:history="1">
        <w:r w:rsidRPr="00C955AE">
          <w:rPr>
            <w:rStyle w:val="Hyperlink"/>
            <w:noProof/>
          </w:rPr>
          <w:t>Overdue applications</w:t>
        </w:r>
        <w:r>
          <w:rPr>
            <w:noProof/>
            <w:webHidden/>
          </w:rPr>
          <w:tab/>
        </w:r>
        <w:r>
          <w:rPr>
            <w:noProof/>
            <w:webHidden/>
          </w:rPr>
          <w:fldChar w:fldCharType="begin"/>
        </w:r>
        <w:r>
          <w:rPr>
            <w:noProof/>
            <w:webHidden/>
          </w:rPr>
          <w:instrText xml:space="preserve"> PAGEREF _Toc526403849 \h </w:instrText>
        </w:r>
        <w:r>
          <w:rPr>
            <w:noProof/>
            <w:webHidden/>
          </w:rPr>
        </w:r>
        <w:r>
          <w:rPr>
            <w:noProof/>
            <w:webHidden/>
          </w:rPr>
          <w:fldChar w:fldCharType="separate"/>
        </w:r>
        <w:r>
          <w:rPr>
            <w:noProof/>
            <w:webHidden/>
          </w:rPr>
          <w:t>8</w:t>
        </w:r>
        <w:r>
          <w:rPr>
            <w:noProof/>
            <w:webHidden/>
          </w:rPr>
          <w:fldChar w:fldCharType="end"/>
        </w:r>
      </w:hyperlink>
    </w:p>
    <w:p w:rsidR="005869FD" w:rsidRDefault="005869FD">
      <w:pPr>
        <w:pStyle w:val="TOC1"/>
        <w:rPr>
          <w:rFonts w:asciiTheme="minorHAnsi" w:eastAsiaTheme="minorEastAsia" w:hAnsiTheme="minorHAnsi" w:cstheme="minorBidi"/>
          <w:b w:val="0"/>
          <w:noProof/>
          <w:sz w:val="22"/>
          <w:szCs w:val="22"/>
          <w:lang w:val="en-NZ" w:eastAsia="en-NZ"/>
        </w:rPr>
      </w:pPr>
      <w:hyperlink w:anchor="_Toc526403850" w:history="1">
        <w:r w:rsidRPr="00C955AE">
          <w:rPr>
            <w:rStyle w:val="Hyperlink"/>
            <w:rFonts w:cs="Arial"/>
            <w:noProof/>
          </w:rPr>
          <w:t>Appendix 1: Details of applications reviewed</w:t>
        </w:r>
        <w:r>
          <w:rPr>
            <w:noProof/>
            <w:webHidden/>
          </w:rPr>
          <w:tab/>
        </w:r>
        <w:r>
          <w:rPr>
            <w:noProof/>
            <w:webHidden/>
          </w:rPr>
          <w:fldChar w:fldCharType="begin"/>
        </w:r>
        <w:r>
          <w:rPr>
            <w:noProof/>
            <w:webHidden/>
          </w:rPr>
          <w:instrText xml:space="preserve"> PAGEREF _Toc526403850 \h </w:instrText>
        </w:r>
        <w:r>
          <w:rPr>
            <w:noProof/>
            <w:webHidden/>
          </w:rPr>
        </w:r>
        <w:r>
          <w:rPr>
            <w:noProof/>
            <w:webHidden/>
          </w:rPr>
          <w:fldChar w:fldCharType="separate"/>
        </w:r>
        <w:r>
          <w:rPr>
            <w:noProof/>
            <w:webHidden/>
          </w:rPr>
          <w:t>9</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51" w:history="1">
        <w:r w:rsidRPr="00C955AE">
          <w:rPr>
            <w:rStyle w:val="Hyperlink"/>
            <w:noProof/>
          </w:rPr>
          <w:t>Applications reviewed by full committee</w:t>
        </w:r>
        <w:r>
          <w:rPr>
            <w:noProof/>
            <w:webHidden/>
          </w:rPr>
          <w:tab/>
        </w:r>
        <w:r>
          <w:rPr>
            <w:noProof/>
            <w:webHidden/>
          </w:rPr>
          <w:fldChar w:fldCharType="begin"/>
        </w:r>
        <w:r>
          <w:rPr>
            <w:noProof/>
            <w:webHidden/>
          </w:rPr>
          <w:instrText xml:space="preserve"> PAGEREF _Toc526403851 \h </w:instrText>
        </w:r>
        <w:r>
          <w:rPr>
            <w:noProof/>
            <w:webHidden/>
          </w:rPr>
        </w:r>
        <w:r>
          <w:rPr>
            <w:noProof/>
            <w:webHidden/>
          </w:rPr>
          <w:fldChar w:fldCharType="separate"/>
        </w:r>
        <w:r>
          <w:rPr>
            <w:noProof/>
            <w:webHidden/>
          </w:rPr>
          <w:t>9</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52" w:history="1">
        <w:r w:rsidRPr="00C955AE">
          <w:rPr>
            <w:rStyle w:val="Hyperlink"/>
            <w:noProof/>
          </w:rPr>
          <w:t>Applications reviewed by expedited review</w:t>
        </w:r>
        <w:r>
          <w:rPr>
            <w:noProof/>
            <w:webHidden/>
          </w:rPr>
          <w:tab/>
        </w:r>
        <w:r>
          <w:rPr>
            <w:noProof/>
            <w:webHidden/>
          </w:rPr>
          <w:fldChar w:fldCharType="begin"/>
        </w:r>
        <w:r>
          <w:rPr>
            <w:noProof/>
            <w:webHidden/>
          </w:rPr>
          <w:instrText xml:space="preserve"> PAGEREF _Toc526403852 \h </w:instrText>
        </w:r>
        <w:r>
          <w:rPr>
            <w:noProof/>
            <w:webHidden/>
          </w:rPr>
        </w:r>
        <w:r>
          <w:rPr>
            <w:noProof/>
            <w:webHidden/>
          </w:rPr>
          <w:fldChar w:fldCharType="separate"/>
        </w:r>
        <w:r>
          <w:rPr>
            <w:noProof/>
            <w:webHidden/>
          </w:rPr>
          <w:t>19</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53" w:history="1">
        <w:r w:rsidRPr="00C955AE">
          <w:rPr>
            <w:rStyle w:val="Hyperlink"/>
            <w:noProof/>
          </w:rPr>
          <w:t>Overdue full applications</w:t>
        </w:r>
        <w:r>
          <w:rPr>
            <w:noProof/>
            <w:webHidden/>
          </w:rPr>
          <w:tab/>
        </w:r>
        <w:r>
          <w:rPr>
            <w:noProof/>
            <w:webHidden/>
          </w:rPr>
          <w:fldChar w:fldCharType="begin"/>
        </w:r>
        <w:r>
          <w:rPr>
            <w:noProof/>
            <w:webHidden/>
          </w:rPr>
          <w:instrText xml:space="preserve"> PAGEREF _Toc526403853 \h </w:instrText>
        </w:r>
        <w:r>
          <w:rPr>
            <w:noProof/>
            <w:webHidden/>
          </w:rPr>
        </w:r>
        <w:r>
          <w:rPr>
            <w:noProof/>
            <w:webHidden/>
          </w:rPr>
          <w:fldChar w:fldCharType="separate"/>
        </w:r>
        <w:r>
          <w:rPr>
            <w:noProof/>
            <w:webHidden/>
          </w:rPr>
          <w:t>23</w:t>
        </w:r>
        <w:r>
          <w:rPr>
            <w:noProof/>
            <w:webHidden/>
          </w:rPr>
          <w:fldChar w:fldCharType="end"/>
        </w:r>
      </w:hyperlink>
    </w:p>
    <w:p w:rsidR="005869FD" w:rsidRDefault="005869FD">
      <w:pPr>
        <w:pStyle w:val="TOC2"/>
        <w:rPr>
          <w:rFonts w:asciiTheme="minorHAnsi" w:eastAsiaTheme="minorEastAsia" w:hAnsiTheme="minorHAnsi" w:cstheme="minorBidi"/>
          <w:noProof/>
          <w:szCs w:val="22"/>
          <w:lang w:val="en-NZ" w:eastAsia="en-NZ"/>
        </w:rPr>
      </w:pPr>
      <w:hyperlink w:anchor="_Toc526403854" w:history="1">
        <w:r w:rsidRPr="00C955AE">
          <w:rPr>
            <w:rStyle w:val="Hyperlink"/>
            <w:noProof/>
          </w:rPr>
          <w:t>Overdue expedited applications</w:t>
        </w:r>
        <w:r>
          <w:rPr>
            <w:noProof/>
            <w:webHidden/>
          </w:rPr>
          <w:tab/>
        </w:r>
        <w:r>
          <w:rPr>
            <w:noProof/>
            <w:webHidden/>
          </w:rPr>
          <w:fldChar w:fldCharType="begin"/>
        </w:r>
        <w:r>
          <w:rPr>
            <w:noProof/>
            <w:webHidden/>
          </w:rPr>
          <w:instrText xml:space="preserve"> PAGEREF _Toc526403854 \h </w:instrText>
        </w:r>
        <w:r>
          <w:rPr>
            <w:noProof/>
            <w:webHidden/>
          </w:rPr>
        </w:r>
        <w:r>
          <w:rPr>
            <w:noProof/>
            <w:webHidden/>
          </w:rPr>
          <w:fldChar w:fldCharType="separate"/>
        </w:r>
        <w:r>
          <w:rPr>
            <w:noProof/>
            <w:webHidden/>
          </w:rPr>
          <w:t>25</w:t>
        </w:r>
        <w:r>
          <w:rPr>
            <w:noProof/>
            <w:webHidden/>
          </w:rPr>
          <w:fldChar w:fldCharType="end"/>
        </w:r>
      </w:hyperlink>
    </w:p>
    <w:p w:rsidR="0040216C" w:rsidRPr="007D230E" w:rsidRDefault="0040216C" w:rsidP="00445A67">
      <w:pPr>
        <w:rPr>
          <w:rFonts w:cs="Arial"/>
        </w:rPr>
      </w:pPr>
      <w:r w:rsidRPr="007D230E">
        <w:rPr>
          <w:rFonts w:cs="Arial"/>
        </w:rPr>
        <w:fldChar w:fldCharType="end"/>
      </w:r>
    </w:p>
    <w:p w:rsidR="00553811" w:rsidRDefault="00553811" w:rsidP="00445A67">
      <w:pPr>
        <w:pStyle w:val="Heading1"/>
        <w:rPr>
          <w:rFonts w:cs="Arial"/>
        </w:rPr>
        <w:sectPr w:rsidR="00553811" w:rsidSect="00553811">
          <w:footerReference w:type="even" r:id="rId14"/>
          <w:footerReference w:type="default" r:id="rId15"/>
          <w:footerReference w:type="first" r:id="rId16"/>
          <w:footnotePr>
            <w:numRestart w:val="eachPage"/>
          </w:footnotePr>
          <w:pgSz w:w="11906" w:h="16838"/>
          <w:pgMar w:top="1258" w:right="1826" w:bottom="1134" w:left="1800" w:header="709" w:footer="709" w:gutter="0"/>
          <w:pgNumType w:fmt="lowerRoman" w:start="1"/>
          <w:cols w:space="708"/>
          <w:titlePg/>
          <w:docGrid w:linePitch="360"/>
        </w:sectPr>
      </w:pPr>
    </w:p>
    <w:p w:rsidR="0040216C" w:rsidRPr="007D230E" w:rsidRDefault="001B4702" w:rsidP="00445A67">
      <w:pPr>
        <w:pStyle w:val="Heading1"/>
        <w:rPr>
          <w:rFonts w:cs="Arial"/>
        </w:rPr>
      </w:pPr>
      <w:bookmarkStart w:id="8" w:name="_Toc271030684"/>
      <w:bookmarkStart w:id="9" w:name="_Toc526403839"/>
      <w:r>
        <w:rPr>
          <w:rFonts w:cs="Arial"/>
        </w:rPr>
        <w:lastRenderedPageBreak/>
        <w:t>About the c</w:t>
      </w:r>
      <w:r w:rsidR="0040216C" w:rsidRPr="007D230E">
        <w:rPr>
          <w:rFonts w:cs="Arial"/>
        </w:rPr>
        <w:t>ommittee</w:t>
      </w:r>
      <w:bookmarkEnd w:id="8"/>
      <w:bookmarkEnd w:id="9"/>
    </w:p>
    <w:p w:rsidR="0040216C" w:rsidRPr="007D230E" w:rsidRDefault="0040216C" w:rsidP="00445A67">
      <w:pPr>
        <w:rPr>
          <w:rFonts w:cs="Arial"/>
        </w:rPr>
      </w:pPr>
      <w:r w:rsidRPr="007D230E">
        <w:rPr>
          <w:rFonts w:cs="Arial"/>
        </w:rPr>
        <w:t xml:space="preserve">The Northern B Health and Disability Ethics Committee (HDEC) is a Ministerial committee established under section 11 of the </w:t>
      </w:r>
      <w:hyperlink r:id="rId17" w:history="1">
        <w:r w:rsidRPr="007D230E">
          <w:rPr>
            <w:rStyle w:val="Hyperlink"/>
            <w:rFonts w:cs="Arial"/>
          </w:rPr>
          <w:t>New Zealand Public Health and Disability Act 2000</w:t>
        </w:r>
      </w:hyperlink>
      <w:r w:rsidR="00FC6A82">
        <w:rPr>
          <w:rFonts w:cs="Arial"/>
        </w:rPr>
        <w:t xml:space="preserve">. </w:t>
      </w:r>
      <w:r w:rsidRPr="007D230E">
        <w:rPr>
          <w:rFonts w:cs="Arial"/>
        </w:rPr>
        <w:t>Its members are appointed by the Minister of Health through the public appointments process.</w:t>
      </w:r>
    </w:p>
    <w:p w:rsidR="0040216C" w:rsidRPr="007D230E" w:rsidRDefault="0040216C" w:rsidP="00445A67">
      <w:pPr>
        <w:rPr>
          <w:rFonts w:cs="Arial"/>
        </w:rPr>
      </w:pPr>
    </w:p>
    <w:p w:rsidR="0040216C" w:rsidRPr="007D230E" w:rsidRDefault="0040216C" w:rsidP="00445A67">
      <w:pPr>
        <w:rPr>
          <w:rFonts w:cs="Arial"/>
        </w:rPr>
      </w:pPr>
      <w:r w:rsidRPr="007D230E">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rsidR="0040216C" w:rsidRPr="007D230E" w:rsidRDefault="0040216C" w:rsidP="00445A67">
      <w:pPr>
        <w:rPr>
          <w:rFonts w:cs="Arial"/>
        </w:rPr>
      </w:pPr>
    </w:p>
    <w:p w:rsidR="0040216C" w:rsidRPr="007D230E" w:rsidRDefault="0040216C" w:rsidP="00445A67">
      <w:pPr>
        <w:rPr>
          <w:rFonts w:cs="Arial"/>
        </w:rPr>
      </w:pPr>
      <w:r w:rsidRPr="007D230E">
        <w:rPr>
          <w:rFonts w:cs="Arial"/>
        </w:rPr>
        <w:t xml:space="preserve">The Committee is required by its </w:t>
      </w:r>
      <w:hyperlink r:id="rId18" w:anchor="tor" w:history="1">
        <w:r w:rsidRPr="007D230E">
          <w:rPr>
            <w:rStyle w:val="Hyperlink"/>
            <w:rFonts w:cs="Arial"/>
          </w:rPr>
          <w:t>Terms of Reference</w:t>
        </w:r>
      </w:hyperlink>
      <w:r w:rsidRPr="007D230E">
        <w:rPr>
          <w:rFonts w:cs="Arial"/>
        </w:rPr>
        <w:t xml:space="preserve"> to submit an Annual Report to the Minister of Health</w:t>
      </w:r>
      <w:r w:rsidR="00FC6A82">
        <w:rPr>
          <w:rFonts w:cs="Arial"/>
        </w:rPr>
        <w:t xml:space="preserve">. </w:t>
      </w:r>
      <w:r w:rsidRPr="007D230E">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when making decisions, among other matters. </w:t>
      </w:r>
    </w:p>
    <w:p w:rsidR="0040216C" w:rsidRPr="007D230E" w:rsidRDefault="0040216C" w:rsidP="00445A67">
      <w:pPr>
        <w:rPr>
          <w:rFonts w:cs="Arial"/>
        </w:rPr>
      </w:pPr>
    </w:p>
    <w:p w:rsidR="0040216C" w:rsidRPr="007D230E" w:rsidRDefault="0040216C" w:rsidP="00445A67">
      <w:pPr>
        <w:pStyle w:val="Heading3"/>
      </w:pPr>
      <w:r w:rsidRPr="007D230E">
        <w:t>Approvals and registrations</w:t>
      </w:r>
    </w:p>
    <w:p w:rsidR="00A71F41" w:rsidRPr="007D230E" w:rsidRDefault="00A71F41" w:rsidP="00445A67">
      <w:pPr>
        <w:rPr>
          <w:rFonts w:cs="Arial"/>
        </w:rPr>
      </w:pPr>
    </w:p>
    <w:p w:rsidR="0040216C" w:rsidRPr="007D230E" w:rsidRDefault="0040216C" w:rsidP="00445A67">
      <w:pPr>
        <w:rPr>
          <w:rFonts w:cs="Arial"/>
        </w:rPr>
      </w:pPr>
      <w:r w:rsidRPr="007D230E">
        <w:rPr>
          <w:rFonts w:cs="Arial"/>
        </w:rPr>
        <w:t>The Northern B HDEC is approved by the Health Research Council Ethics Committee for the purposes of section 25(1</w:t>
      </w:r>
      <w:proofErr w:type="gramStart"/>
      <w:r w:rsidRPr="007D230E">
        <w:rPr>
          <w:rFonts w:cs="Arial"/>
        </w:rPr>
        <w:t>)(</w:t>
      </w:r>
      <w:proofErr w:type="gramEnd"/>
      <w:r w:rsidRPr="007D230E">
        <w:rPr>
          <w:rFonts w:cs="Arial"/>
        </w:rPr>
        <w:t xml:space="preserve">c) of the </w:t>
      </w:r>
      <w:hyperlink r:id="rId19" w:history="1">
        <w:r w:rsidRPr="007D230E">
          <w:rPr>
            <w:rStyle w:val="Hyperlink"/>
            <w:rFonts w:cs="Arial"/>
          </w:rPr>
          <w:t>Health Research Council Act 1990</w:t>
        </w:r>
      </w:hyperlink>
      <w:r w:rsidRPr="007D230E">
        <w:rPr>
          <w:rFonts w:cs="Arial"/>
        </w:rPr>
        <w:t>.</w:t>
      </w:r>
    </w:p>
    <w:p w:rsidR="0040216C" w:rsidRPr="007D230E" w:rsidRDefault="0040216C" w:rsidP="00445A67">
      <w:pPr>
        <w:rPr>
          <w:rFonts w:cs="Arial"/>
        </w:rPr>
      </w:pPr>
    </w:p>
    <w:p w:rsidR="0040216C" w:rsidRPr="007D230E" w:rsidRDefault="0040216C" w:rsidP="00445A67">
      <w:pPr>
        <w:rPr>
          <w:rFonts w:cs="Arial"/>
        </w:rPr>
      </w:pPr>
      <w:r w:rsidRPr="007D230E">
        <w:rPr>
          <w:rFonts w:cs="Arial"/>
        </w:rPr>
        <w:t>The Northern B HDEC is registered (number IRB00008715) with the United States’ Office for Human Research Protections</w:t>
      </w:r>
      <w:r w:rsidR="00FC6A82">
        <w:rPr>
          <w:rFonts w:cs="Arial"/>
        </w:rPr>
        <w:t xml:space="preserve">. </w:t>
      </w:r>
      <w:r w:rsidRPr="007D230E">
        <w:rPr>
          <w:rFonts w:cs="Arial"/>
        </w:rPr>
        <w:t>This registration enables the committee to review research conducted or supported by the US Department of Health and Human Services.</w:t>
      </w:r>
    </w:p>
    <w:p w:rsidR="0040216C" w:rsidRPr="007D230E" w:rsidRDefault="0040216C" w:rsidP="00445A67">
      <w:pPr>
        <w:rPr>
          <w:rFonts w:cs="Arial"/>
        </w:rPr>
      </w:pPr>
    </w:p>
    <w:p w:rsidR="0040216C" w:rsidRPr="007D230E" w:rsidRDefault="0040216C" w:rsidP="00445A67">
      <w:pPr>
        <w:pStyle w:val="Heading1"/>
        <w:rPr>
          <w:rFonts w:cs="Arial"/>
        </w:rPr>
      </w:pPr>
      <w:r w:rsidRPr="007D230E">
        <w:rPr>
          <w:rFonts w:cs="Arial"/>
          <w:highlight w:val="yellow"/>
        </w:rPr>
        <w:br w:type="page"/>
      </w:r>
      <w:bookmarkStart w:id="10" w:name="_Toc271030685"/>
      <w:bookmarkStart w:id="11" w:name="_Toc526403840"/>
      <w:r w:rsidRPr="007D230E">
        <w:rPr>
          <w:rFonts w:cs="Arial"/>
        </w:rPr>
        <w:lastRenderedPageBreak/>
        <w:t>Chairperson’s report</w:t>
      </w:r>
      <w:bookmarkEnd w:id="10"/>
      <w:bookmarkEnd w:id="11"/>
    </w:p>
    <w:p w:rsidR="00AE5049" w:rsidRPr="007D230E" w:rsidRDefault="00AE5049" w:rsidP="001B4702">
      <w:pPr>
        <w:jc w:val="both"/>
        <w:rPr>
          <w:rFonts w:cs="Arial"/>
        </w:rPr>
      </w:pPr>
      <w:r w:rsidRPr="007D230E">
        <w:rPr>
          <w:rFonts w:cs="Arial"/>
        </w:rPr>
        <w:t xml:space="preserve">2015 was another busy year for the Northern B Committee, with 146 applications reviewed. During 2015 our Committee saw </w:t>
      </w:r>
      <w:proofErr w:type="spellStart"/>
      <w:r w:rsidRPr="007D230E">
        <w:rPr>
          <w:rFonts w:cs="Arial"/>
        </w:rPr>
        <w:t>Dr</w:t>
      </w:r>
      <w:proofErr w:type="spellEnd"/>
      <w:r w:rsidRPr="007D230E">
        <w:rPr>
          <w:rFonts w:cs="Arial"/>
        </w:rPr>
        <w:t xml:space="preserve"> Paul </w:t>
      </w:r>
      <w:proofErr w:type="spellStart"/>
      <w:r w:rsidRPr="007D230E">
        <w:rPr>
          <w:rFonts w:cs="Arial"/>
        </w:rPr>
        <w:t>Tanser</w:t>
      </w:r>
      <w:proofErr w:type="spellEnd"/>
      <w:r w:rsidRPr="007D230E">
        <w:rPr>
          <w:rFonts w:cs="Arial"/>
        </w:rPr>
        <w:t xml:space="preserve">, </w:t>
      </w:r>
      <w:proofErr w:type="spellStart"/>
      <w:r w:rsidRPr="007D230E">
        <w:rPr>
          <w:rFonts w:cs="Arial"/>
        </w:rPr>
        <w:t>Mrs</w:t>
      </w:r>
      <w:proofErr w:type="spellEnd"/>
      <w:r w:rsidRPr="007D230E">
        <w:rPr>
          <w:rFonts w:cs="Arial"/>
        </w:rPr>
        <w:t xml:space="preserve"> </w:t>
      </w:r>
      <w:proofErr w:type="spellStart"/>
      <w:r w:rsidRPr="007D230E">
        <w:rPr>
          <w:rFonts w:cs="Arial"/>
        </w:rPr>
        <w:t>Kerin</w:t>
      </w:r>
      <w:proofErr w:type="spellEnd"/>
      <w:r w:rsidRPr="007D230E">
        <w:rPr>
          <w:rFonts w:cs="Arial"/>
        </w:rPr>
        <w:t xml:space="preserve"> Thompson and myself move on from the Committee.</w:t>
      </w:r>
    </w:p>
    <w:p w:rsidR="00C77B72" w:rsidRPr="007D230E" w:rsidRDefault="00C77B72" w:rsidP="001B4702">
      <w:pPr>
        <w:jc w:val="both"/>
        <w:rPr>
          <w:rFonts w:cs="Arial"/>
        </w:rPr>
      </w:pPr>
      <w:r w:rsidRPr="007D230E">
        <w:rPr>
          <w:rFonts w:cs="Arial"/>
        </w:rPr>
        <w:br/>
        <w:t xml:space="preserve">I have had the privilege to hold the title of Chairperson for 7 years and be a </w:t>
      </w:r>
      <w:r w:rsidR="00AE5049" w:rsidRPr="007D230E">
        <w:rPr>
          <w:rFonts w:cs="Arial"/>
        </w:rPr>
        <w:t>C</w:t>
      </w:r>
      <w:r w:rsidRPr="007D230E">
        <w:rPr>
          <w:rFonts w:cs="Arial"/>
        </w:rPr>
        <w:t xml:space="preserve">ommittee member for 8 years. </w:t>
      </w:r>
    </w:p>
    <w:p w:rsidR="001B4702" w:rsidRDefault="00C77B72" w:rsidP="001B4702">
      <w:pPr>
        <w:jc w:val="both"/>
        <w:rPr>
          <w:rFonts w:cs="Arial"/>
        </w:rPr>
      </w:pPr>
      <w:r w:rsidRPr="007D230E">
        <w:rPr>
          <w:rFonts w:cs="Arial"/>
        </w:rPr>
        <w:br/>
        <w:t>Over this per</w:t>
      </w:r>
      <w:r w:rsidR="00AE5049" w:rsidRPr="007D230E">
        <w:rPr>
          <w:rFonts w:cs="Arial"/>
        </w:rPr>
        <w:t>iod of time</w:t>
      </w:r>
      <w:r w:rsidRPr="007D230E">
        <w:rPr>
          <w:rFonts w:cs="Arial"/>
        </w:rPr>
        <w:t xml:space="preserve"> I have seen a lot of</w:t>
      </w:r>
      <w:r w:rsidR="00AE5049" w:rsidRPr="007D230E">
        <w:rPr>
          <w:rFonts w:cs="Arial"/>
        </w:rPr>
        <w:t xml:space="preserve"> positive</w:t>
      </w:r>
      <w:r w:rsidRPr="007D230E">
        <w:rPr>
          <w:rFonts w:cs="Arial"/>
        </w:rPr>
        <w:t xml:space="preserve"> change. Not only in the incredible team that support our </w:t>
      </w:r>
      <w:r w:rsidR="00AE5049" w:rsidRPr="007D230E">
        <w:rPr>
          <w:rFonts w:cs="Arial"/>
        </w:rPr>
        <w:t>C</w:t>
      </w:r>
      <w:r w:rsidRPr="007D230E">
        <w:rPr>
          <w:rFonts w:cs="Arial"/>
        </w:rPr>
        <w:t xml:space="preserve">ommittee, but also the way the </w:t>
      </w:r>
      <w:r w:rsidR="00AE5049" w:rsidRPr="007D230E">
        <w:rPr>
          <w:rFonts w:cs="Arial"/>
        </w:rPr>
        <w:t>C</w:t>
      </w:r>
      <w:r w:rsidRPr="007D230E">
        <w:rPr>
          <w:rFonts w:cs="Arial"/>
        </w:rPr>
        <w:t>ommittees were structured and the number of committees</w:t>
      </w:r>
      <w:r w:rsidR="00AE5049" w:rsidRPr="007D230E">
        <w:rPr>
          <w:rFonts w:cs="Arial"/>
        </w:rPr>
        <w:t xml:space="preserve"> that we had in New Zealand.</w:t>
      </w:r>
    </w:p>
    <w:p w:rsidR="001B4702" w:rsidRDefault="00C77B72" w:rsidP="001B4702">
      <w:pPr>
        <w:jc w:val="both"/>
        <w:rPr>
          <w:rFonts w:cs="Arial"/>
        </w:rPr>
      </w:pPr>
      <w:r w:rsidRPr="007D230E">
        <w:rPr>
          <w:rFonts w:cs="Arial"/>
        </w:rPr>
        <w:t xml:space="preserve">  </w:t>
      </w:r>
      <w:r w:rsidRPr="007D230E">
        <w:rPr>
          <w:rFonts w:cs="Arial"/>
        </w:rPr>
        <w:br/>
        <w:t xml:space="preserve">During this time we also went from being a paper based system to being online. </w:t>
      </w:r>
      <w:r w:rsidRPr="007D230E">
        <w:rPr>
          <w:rFonts w:cs="Arial"/>
        </w:rPr>
        <w:br/>
        <w:t xml:space="preserve">  </w:t>
      </w:r>
      <w:r w:rsidRPr="007D230E">
        <w:rPr>
          <w:rFonts w:cs="Arial"/>
        </w:rPr>
        <w:br/>
        <w:t>I have sincerely enjoyed my time working with Ethics during the past 8 years. I have learnt a lot, met many inspirational people and worked with many committee members and staff w</w:t>
      </w:r>
      <w:r w:rsidR="001B4702">
        <w:rPr>
          <w:rFonts w:cs="Arial"/>
        </w:rPr>
        <w:t>ho are tenacious in their work.</w:t>
      </w:r>
    </w:p>
    <w:p w:rsidR="00AE5049" w:rsidRPr="007D230E" w:rsidRDefault="00C77B72" w:rsidP="001B4702">
      <w:pPr>
        <w:jc w:val="both"/>
        <w:rPr>
          <w:rFonts w:cs="Arial"/>
        </w:rPr>
      </w:pPr>
      <w:r w:rsidRPr="007D230E">
        <w:rPr>
          <w:rFonts w:cs="Arial"/>
        </w:rPr>
        <w:t xml:space="preserve">  </w:t>
      </w:r>
      <w:r w:rsidRPr="007D230E">
        <w:rPr>
          <w:rFonts w:cs="Arial"/>
        </w:rPr>
        <w:br/>
        <w:t>The Ministry of Health is very fortunate to have such a team of people working in this area</w:t>
      </w:r>
      <w:r w:rsidR="00AE5049" w:rsidRPr="007D230E">
        <w:rPr>
          <w:rFonts w:cs="Arial"/>
        </w:rPr>
        <w:t xml:space="preserve"> to protect participants</w:t>
      </w:r>
      <w:r w:rsidRPr="007D230E">
        <w:rPr>
          <w:rFonts w:cs="Arial"/>
        </w:rPr>
        <w:t>, and New Zealanders as a whole are also very fortunate to have such high</w:t>
      </w:r>
      <w:r w:rsidR="00AE5049" w:rsidRPr="007D230E">
        <w:rPr>
          <w:rFonts w:cs="Arial"/>
        </w:rPr>
        <w:t>ly</w:t>
      </w:r>
      <w:r w:rsidRPr="007D230E">
        <w:rPr>
          <w:rFonts w:cs="Arial"/>
        </w:rPr>
        <w:t xml:space="preserve"> regarded research happening in this country at such a high level. </w:t>
      </w:r>
    </w:p>
    <w:p w:rsidR="00AE5049" w:rsidRPr="007D230E" w:rsidRDefault="00AE5049" w:rsidP="001B4702">
      <w:pPr>
        <w:jc w:val="both"/>
        <w:rPr>
          <w:rFonts w:cs="Arial"/>
        </w:rPr>
      </w:pPr>
    </w:p>
    <w:p w:rsidR="001B4702" w:rsidRDefault="00AE5049" w:rsidP="001B4702">
      <w:pPr>
        <w:jc w:val="both"/>
        <w:rPr>
          <w:rFonts w:cs="Arial"/>
        </w:rPr>
      </w:pPr>
      <w:r w:rsidRPr="007D230E">
        <w:rPr>
          <w:rFonts w:cs="Arial"/>
        </w:rPr>
        <w:t>During my last Chairperson’s day we discussed a range of complex issues, and made progress towards navigating the ethical challenges posed by our Committees who are at the forefront of s</w:t>
      </w:r>
      <w:r w:rsidR="001B4702">
        <w:rPr>
          <w:rFonts w:cs="Arial"/>
        </w:rPr>
        <w:t>cience.</w:t>
      </w:r>
    </w:p>
    <w:p w:rsidR="0040216C" w:rsidRPr="007D230E" w:rsidRDefault="00C77B72" w:rsidP="001B4702">
      <w:pPr>
        <w:jc w:val="both"/>
        <w:rPr>
          <w:rFonts w:cs="Arial"/>
        </w:rPr>
      </w:pPr>
      <w:r w:rsidRPr="007D230E">
        <w:rPr>
          <w:rFonts w:cs="Arial"/>
        </w:rPr>
        <w:t xml:space="preserve">  </w:t>
      </w:r>
      <w:r w:rsidRPr="007D230E">
        <w:rPr>
          <w:rFonts w:cs="Arial"/>
        </w:rPr>
        <w:br/>
        <w:t xml:space="preserve">I thank everyone who has come into my path in this role over the last 8 years and again </w:t>
      </w:r>
      <w:proofErr w:type="gramStart"/>
      <w:r w:rsidRPr="007D230E">
        <w:rPr>
          <w:rFonts w:cs="Arial"/>
        </w:rPr>
        <w:t>I</w:t>
      </w:r>
      <w:proofErr w:type="gramEnd"/>
      <w:r w:rsidRPr="007D230E">
        <w:rPr>
          <w:rFonts w:cs="Arial"/>
        </w:rPr>
        <w:t xml:space="preserve"> thank you for allowing me the honor of being part of this committee.</w:t>
      </w:r>
    </w:p>
    <w:p w:rsidR="00C77B72" w:rsidRPr="007D230E" w:rsidRDefault="00C77B72" w:rsidP="00445A67">
      <w:pPr>
        <w:rPr>
          <w:rFonts w:cs="Arial"/>
          <w:highlight w:val="yellow"/>
        </w:rPr>
      </w:pPr>
    </w:p>
    <w:p w:rsidR="00A71F41" w:rsidRPr="007D230E" w:rsidRDefault="00A71F41" w:rsidP="00445A67">
      <w:pPr>
        <w:rPr>
          <w:rFonts w:cs="Arial"/>
          <w:highlight w:val="yellow"/>
        </w:rPr>
      </w:pPr>
    </w:p>
    <w:p w:rsidR="0040216C" w:rsidRPr="007D230E" w:rsidRDefault="0040216C" w:rsidP="00445A67">
      <w:pPr>
        <w:rPr>
          <w:rFonts w:cs="Arial"/>
        </w:rPr>
      </w:pPr>
      <w:r w:rsidRPr="007D230E">
        <w:rPr>
          <w:rFonts w:cs="Arial"/>
          <w:b/>
          <w:bCs/>
          <w:noProof/>
          <w:color w:val="FF0000"/>
          <w:lang w:val="en-NZ" w:eastAsia="en-NZ"/>
        </w:rPr>
        <w:drawing>
          <wp:inline distT="0" distB="0" distL="0" distR="0" wp14:anchorId="488C8A77" wp14:editId="52A8DB2F">
            <wp:extent cx="1695450" cy="576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1395" cy="578901"/>
                    </a:xfrm>
                    <a:prstGeom prst="rect">
                      <a:avLst/>
                    </a:prstGeom>
                    <a:noFill/>
                    <a:ln>
                      <a:noFill/>
                    </a:ln>
                  </pic:spPr>
                </pic:pic>
              </a:graphicData>
            </a:graphic>
          </wp:inline>
        </w:drawing>
      </w:r>
    </w:p>
    <w:p w:rsidR="0040216C" w:rsidRPr="007D230E" w:rsidRDefault="0040216C" w:rsidP="00445A67">
      <w:pPr>
        <w:rPr>
          <w:rFonts w:cs="Arial"/>
        </w:rPr>
      </w:pPr>
    </w:p>
    <w:p w:rsidR="0040216C" w:rsidRPr="007D230E" w:rsidRDefault="0040216C" w:rsidP="00445A67">
      <w:pPr>
        <w:rPr>
          <w:rFonts w:cs="Arial"/>
        </w:rPr>
      </w:pPr>
      <w:proofErr w:type="spellStart"/>
      <w:r w:rsidRPr="007D230E">
        <w:rPr>
          <w:rFonts w:cs="Arial"/>
        </w:rPr>
        <w:t>Ms</w:t>
      </w:r>
      <w:proofErr w:type="spellEnd"/>
      <w:r w:rsidRPr="007D230E">
        <w:rPr>
          <w:rFonts w:cs="Arial"/>
        </w:rPr>
        <w:t xml:space="preserve"> </w:t>
      </w:r>
      <w:proofErr w:type="spellStart"/>
      <w:r w:rsidRPr="007D230E">
        <w:rPr>
          <w:rFonts w:cs="Arial"/>
        </w:rPr>
        <w:t>Raewyn</w:t>
      </w:r>
      <w:proofErr w:type="spellEnd"/>
      <w:r w:rsidRPr="007D230E">
        <w:rPr>
          <w:rFonts w:cs="Arial"/>
        </w:rPr>
        <w:t xml:space="preserve"> </w:t>
      </w:r>
      <w:proofErr w:type="spellStart"/>
      <w:r w:rsidRPr="007D230E">
        <w:rPr>
          <w:rFonts w:cs="Arial"/>
        </w:rPr>
        <w:t>Sporle</w:t>
      </w:r>
      <w:proofErr w:type="spellEnd"/>
    </w:p>
    <w:p w:rsidR="0040216C" w:rsidRPr="007D230E" w:rsidRDefault="0040216C" w:rsidP="00445A67">
      <w:pPr>
        <w:rPr>
          <w:rFonts w:cs="Arial"/>
        </w:rPr>
      </w:pPr>
      <w:r w:rsidRPr="007D230E">
        <w:rPr>
          <w:rFonts w:cs="Arial"/>
        </w:rPr>
        <w:t>Chairperson</w:t>
      </w:r>
    </w:p>
    <w:p w:rsidR="0040216C" w:rsidRPr="007D230E" w:rsidRDefault="0040216C" w:rsidP="00445A67">
      <w:pPr>
        <w:rPr>
          <w:rFonts w:cs="Arial"/>
        </w:rPr>
      </w:pPr>
      <w:r w:rsidRPr="007D230E">
        <w:rPr>
          <w:rFonts w:cs="Arial"/>
        </w:rPr>
        <w:t>Northern B Health and Disability Ethics Committee</w:t>
      </w:r>
    </w:p>
    <w:p w:rsidR="0040216C" w:rsidRPr="007D230E" w:rsidRDefault="0040216C" w:rsidP="00445A67">
      <w:pPr>
        <w:pStyle w:val="Heading1"/>
        <w:rPr>
          <w:rFonts w:cs="Arial"/>
        </w:rPr>
      </w:pPr>
      <w:r w:rsidRPr="007D230E">
        <w:rPr>
          <w:rFonts w:cs="Arial"/>
        </w:rPr>
        <w:br w:type="page"/>
      </w:r>
      <w:bookmarkStart w:id="12" w:name="_Toc271030686"/>
      <w:bookmarkStart w:id="13" w:name="_Toc526403841"/>
      <w:r w:rsidRPr="007D230E">
        <w:rPr>
          <w:rFonts w:cs="Arial"/>
        </w:rPr>
        <w:lastRenderedPageBreak/>
        <w:t>Membership and attendance</w:t>
      </w:r>
      <w:bookmarkEnd w:id="12"/>
      <w:bookmarkEnd w:id="13"/>
    </w:p>
    <w:p w:rsidR="0048051B" w:rsidRPr="007D230E" w:rsidRDefault="0040216C" w:rsidP="00445A67">
      <w:pPr>
        <w:rPr>
          <w:rFonts w:cs="Arial"/>
          <w:lang w:val="en-NZ"/>
        </w:rPr>
      </w:pPr>
      <w:bookmarkStart w:id="14" w:name="_Toc271030687"/>
      <w:r w:rsidRPr="007D230E">
        <w:rPr>
          <w:rFonts w:cs="Arial"/>
          <w:lang w:val="en-NZ"/>
        </w:rPr>
        <w:t xml:space="preserve">No meetings were postponed or cancelled due to inability to make quorum. </w:t>
      </w:r>
      <w:r w:rsidR="006C4BCB" w:rsidRPr="007D230E">
        <w:rPr>
          <w:rFonts w:cs="Arial"/>
          <w:lang w:val="en-NZ"/>
        </w:rPr>
        <w:t xml:space="preserve">Five members were appointed to the Committee in 2015. </w:t>
      </w:r>
      <w:r w:rsidR="0003365A" w:rsidRPr="007D230E">
        <w:rPr>
          <w:rFonts w:cs="Arial"/>
          <w:lang w:val="en-NZ"/>
        </w:rPr>
        <w:t>Three</w:t>
      </w:r>
      <w:r w:rsidR="00082C44" w:rsidRPr="007D230E">
        <w:rPr>
          <w:rFonts w:cs="Arial"/>
          <w:lang w:val="en-NZ"/>
        </w:rPr>
        <w:t xml:space="preserve"> </w:t>
      </w:r>
      <w:r w:rsidR="006C4BCB" w:rsidRPr="007D230E">
        <w:rPr>
          <w:rFonts w:cs="Arial"/>
          <w:lang w:val="en-NZ"/>
        </w:rPr>
        <w:t>members</w:t>
      </w:r>
      <w:r w:rsidR="00445A67" w:rsidRPr="007D230E">
        <w:rPr>
          <w:rFonts w:cs="Arial"/>
          <w:lang w:val="en-NZ"/>
        </w:rPr>
        <w:t>’</w:t>
      </w:r>
      <w:r w:rsidR="006C4BCB" w:rsidRPr="007D230E">
        <w:rPr>
          <w:rFonts w:cs="Arial"/>
          <w:lang w:val="en-NZ"/>
        </w:rPr>
        <w:t xml:space="preserve"> terms expired</w:t>
      </w:r>
      <w:r w:rsidR="00C36C4E" w:rsidRPr="007D230E">
        <w:rPr>
          <w:rFonts w:cs="Arial"/>
          <w:lang w:val="en-NZ"/>
        </w:rPr>
        <w:t xml:space="preserve"> during 201</w:t>
      </w:r>
      <w:r w:rsidR="00082C44" w:rsidRPr="007D230E">
        <w:rPr>
          <w:rFonts w:cs="Arial"/>
          <w:lang w:val="en-NZ"/>
        </w:rPr>
        <w:t>5</w:t>
      </w:r>
      <w:r w:rsidRPr="007D230E">
        <w:rPr>
          <w:rFonts w:cs="Arial"/>
          <w:lang w:val="en-NZ"/>
        </w:rPr>
        <w:t>.</w:t>
      </w:r>
    </w:p>
    <w:p w:rsidR="0040216C" w:rsidRPr="007D230E" w:rsidRDefault="0040216C" w:rsidP="00445A67">
      <w:pPr>
        <w:pStyle w:val="Heading2"/>
        <w:rPr>
          <w:i w:val="0"/>
          <w:lang w:val="en-NZ"/>
        </w:rPr>
      </w:pPr>
      <w:bookmarkStart w:id="15" w:name="_Toc526403842"/>
      <w:r w:rsidRPr="007D230E">
        <w:rPr>
          <w:i w:val="0"/>
          <w:lang w:val="en-NZ"/>
        </w:rPr>
        <w:t>Membership</w:t>
      </w:r>
      <w:bookmarkEnd w:id="14"/>
      <w:bookmarkEnd w:id="15"/>
    </w:p>
    <w:p w:rsidR="0040216C" w:rsidRPr="007D230E" w:rsidRDefault="0040216C" w:rsidP="00445A67">
      <w:pPr>
        <w:jc w:val="both"/>
        <w:rPr>
          <w:rFonts w:cs="Arial"/>
          <w:b/>
        </w:rPr>
      </w:pPr>
      <w:r w:rsidRPr="007D230E">
        <w:rPr>
          <w:rFonts w:cs="Arial"/>
          <w:b/>
        </w:rPr>
        <w:t>Lay members</w:t>
      </w:r>
    </w:p>
    <w:p w:rsidR="0040216C" w:rsidRPr="007D230E" w:rsidRDefault="0040216C" w:rsidP="00445A67">
      <w:pPr>
        <w:rPr>
          <w:rFonts w:cs="Arial"/>
          <w:sz w:val="18"/>
          <w:lang w:val="en-NZ"/>
        </w:rPr>
      </w:pPr>
    </w:p>
    <w:tbl>
      <w:tblPr>
        <w:tblW w:w="8355" w:type="dxa"/>
        <w:tblCellSpacing w:w="15" w:type="dxa"/>
        <w:tblCellMar>
          <w:left w:w="0" w:type="dxa"/>
          <w:right w:w="0" w:type="dxa"/>
        </w:tblCellMar>
        <w:tblLook w:val="04A0" w:firstRow="1" w:lastRow="0" w:firstColumn="1" w:lastColumn="0" w:noHBand="0" w:noVBand="1"/>
      </w:tblPr>
      <w:tblGrid>
        <w:gridCol w:w="3022"/>
        <w:gridCol w:w="5333"/>
      </w:tblGrid>
      <w:tr w:rsidR="00335680" w:rsidRPr="007D230E" w:rsidTr="00335680">
        <w:trPr>
          <w:trHeight w:val="239"/>
          <w:tblCellSpacing w:w="15" w:type="dxa"/>
        </w:trPr>
        <w:tc>
          <w:tcPr>
            <w:tcW w:w="0" w:type="auto"/>
            <w:gridSpan w:val="2"/>
            <w:tcMar>
              <w:top w:w="15" w:type="dxa"/>
              <w:left w:w="15" w:type="dxa"/>
              <w:bottom w:w="15" w:type="dxa"/>
              <w:right w:w="15" w:type="dxa"/>
            </w:tcMar>
            <w:hideMark/>
          </w:tcPr>
          <w:p w:rsidR="00335680" w:rsidRPr="007D230E" w:rsidRDefault="00335680" w:rsidP="008B57D2">
            <w:pPr>
              <w:ind w:left="142"/>
              <w:rPr>
                <w:rFonts w:cs="Arial"/>
                <w:sz w:val="24"/>
                <w:lang w:val="en-NZ" w:eastAsia="en-NZ"/>
              </w:rPr>
            </w:pPr>
            <w:r w:rsidRPr="007D230E">
              <w:rPr>
                <w:rFonts w:cs="Arial"/>
                <w:b/>
                <w:bCs/>
                <w:sz w:val="20"/>
                <w:szCs w:val="20"/>
                <w:lang w:val="en-NZ" w:eastAsia="en-NZ"/>
              </w:rPr>
              <w:t xml:space="preserve">Mrs Kate O’Connor </w:t>
            </w:r>
            <w:r w:rsidR="006C4BCB" w:rsidRPr="007D230E">
              <w:rPr>
                <w:rFonts w:cs="Arial"/>
                <w:b/>
                <w:bCs/>
                <w:sz w:val="20"/>
                <w:szCs w:val="20"/>
                <w:lang w:val="en-NZ" w:eastAsia="en-NZ"/>
              </w:rPr>
              <w:t>(Chair)</w:t>
            </w:r>
            <w:r w:rsidR="006C4BCB" w:rsidRPr="007D230E">
              <w:rPr>
                <w:rFonts w:cs="Arial"/>
                <w:sz w:val="24"/>
                <w:lang w:val="en-NZ" w:eastAsia="en-NZ"/>
              </w:rPr>
              <w:t xml:space="preserve"> </w:t>
            </w:r>
          </w:p>
        </w:tc>
      </w:tr>
      <w:tr w:rsidR="00335680" w:rsidRPr="007D230E" w:rsidTr="00A71F41">
        <w:trPr>
          <w:trHeight w:val="239"/>
          <w:tblCellSpacing w:w="15" w:type="dxa"/>
        </w:trPr>
        <w:tc>
          <w:tcPr>
            <w:tcW w:w="2977" w:type="dxa"/>
            <w:tcMar>
              <w:top w:w="15" w:type="dxa"/>
              <w:left w:w="15" w:type="dxa"/>
              <w:bottom w:w="15" w:type="dxa"/>
              <w:right w:w="15" w:type="dxa"/>
            </w:tcMar>
            <w:hideMark/>
          </w:tcPr>
          <w:p w:rsidR="00335680" w:rsidRPr="007D230E" w:rsidRDefault="00335680" w:rsidP="008B57D2">
            <w:pPr>
              <w:ind w:left="142"/>
              <w:rPr>
                <w:rFonts w:cs="Arial"/>
                <w:sz w:val="24"/>
                <w:lang w:val="en-NZ" w:eastAsia="en-NZ"/>
              </w:rPr>
            </w:pPr>
            <w:r w:rsidRPr="007D230E">
              <w:rPr>
                <w:rFonts w:cs="Arial"/>
                <w:sz w:val="20"/>
                <w:szCs w:val="20"/>
                <w:lang w:val="en-NZ" w:eastAsia="en-NZ"/>
              </w:rPr>
              <w:t>Membership category:</w:t>
            </w:r>
            <w:r w:rsidRPr="007D230E">
              <w:rPr>
                <w:rFonts w:cs="Arial"/>
                <w:sz w:val="24"/>
                <w:lang w:val="en-NZ" w:eastAsia="en-NZ"/>
              </w:rPr>
              <w:t xml:space="preserve"> </w:t>
            </w:r>
          </w:p>
        </w:tc>
        <w:tc>
          <w:tcPr>
            <w:tcW w:w="5288" w:type="dxa"/>
            <w:tcMar>
              <w:top w:w="15" w:type="dxa"/>
              <w:left w:w="15" w:type="dxa"/>
              <w:bottom w:w="15" w:type="dxa"/>
              <w:right w:w="15" w:type="dxa"/>
            </w:tcMar>
            <w:hideMark/>
          </w:tcPr>
          <w:p w:rsidR="00335680" w:rsidRPr="007D230E" w:rsidRDefault="00335680" w:rsidP="008B57D2">
            <w:pPr>
              <w:ind w:left="142"/>
              <w:rPr>
                <w:rFonts w:cs="Arial"/>
                <w:sz w:val="24"/>
                <w:lang w:val="en-NZ" w:eastAsia="en-NZ"/>
              </w:rPr>
            </w:pPr>
            <w:r w:rsidRPr="007D230E">
              <w:rPr>
                <w:rFonts w:cs="Arial"/>
                <w:sz w:val="20"/>
                <w:szCs w:val="20"/>
                <w:lang w:val="en-NZ" w:eastAsia="en-NZ"/>
              </w:rPr>
              <w:t xml:space="preserve"> Lay</w:t>
            </w:r>
            <w:r w:rsidR="006C4BCB" w:rsidRPr="007D230E">
              <w:rPr>
                <w:rFonts w:cs="Arial"/>
                <w:sz w:val="20"/>
                <w:szCs w:val="20"/>
                <w:lang w:val="en-NZ" w:eastAsia="en-NZ"/>
              </w:rPr>
              <w:t xml:space="preserve"> – ethics moral reasoning</w:t>
            </w:r>
          </w:p>
        </w:tc>
      </w:tr>
      <w:tr w:rsidR="006C4BCB" w:rsidRPr="007D230E" w:rsidTr="00A71F41">
        <w:trPr>
          <w:trHeight w:val="255"/>
          <w:tblCellSpacing w:w="15" w:type="dxa"/>
        </w:trPr>
        <w:tc>
          <w:tcPr>
            <w:tcW w:w="2977" w:type="dxa"/>
            <w:tcMar>
              <w:top w:w="15" w:type="dxa"/>
              <w:left w:w="15" w:type="dxa"/>
              <w:bottom w:w="15" w:type="dxa"/>
              <w:right w:w="15" w:type="dxa"/>
            </w:tcMar>
            <w:hideMark/>
          </w:tcPr>
          <w:p w:rsidR="006C4BCB" w:rsidRPr="007D230E" w:rsidRDefault="006C4BCB" w:rsidP="008B57D2">
            <w:pPr>
              <w:ind w:left="142"/>
              <w:rPr>
                <w:rFonts w:cs="Arial"/>
                <w:sz w:val="24"/>
                <w:lang w:val="en-NZ" w:eastAsia="en-NZ"/>
              </w:rPr>
            </w:pPr>
            <w:r w:rsidRPr="007D230E">
              <w:rPr>
                <w:rFonts w:cs="Arial"/>
                <w:sz w:val="20"/>
                <w:szCs w:val="20"/>
                <w:lang w:val="en-NZ" w:eastAsia="en-NZ"/>
              </w:rPr>
              <w:t>Date of appointment:</w:t>
            </w:r>
            <w:r w:rsidRPr="007D230E">
              <w:rPr>
                <w:rFonts w:cs="Arial"/>
                <w:sz w:val="24"/>
                <w:lang w:val="en-NZ" w:eastAsia="en-NZ"/>
              </w:rPr>
              <w:t xml:space="preserve"> </w:t>
            </w:r>
          </w:p>
        </w:tc>
        <w:tc>
          <w:tcPr>
            <w:tcW w:w="5288" w:type="dxa"/>
            <w:tcMar>
              <w:top w:w="15" w:type="dxa"/>
              <w:left w:w="15" w:type="dxa"/>
              <w:bottom w:w="15" w:type="dxa"/>
              <w:right w:w="15" w:type="dxa"/>
            </w:tcMar>
            <w:hideMark/>
          </w:tcPr>
          <w:p w:rsidR="006C4BCB" w:rsidRPr="007D230E" w:rsidRDefault="006C4BCB" w:rsidP="008B57D2">
            <w:pPr>
              <w:ind w:left="142"/>
              <w:rPr>
                <w:rFonts w:cs="Arial"/>
                <w:sz w:val="20"/>
                <w:szCs w:val="20"/>
                <w:lang w:val="en-NZ" w:eastAsia="en-NZ"/>
              </w:rPr>
            </w:pPr>
            <w:r w:rsidRPr="007D230E">
              <w:rPr>
                <w:rFonts w:cs="Arial"/>
                <w:sz w:val="20"/>
                <w:szCs w:val="20"/>
                <w:lang w:val="en-NZ" w:eastAsia="en-NZ"/>
              </w:rPr>
              <w:t xml:space="preserve">14 Dec 2015 </w:t>
            </w:r>
          </w:p>
        </w:tc>
      </w:tr>
      <w:tr w:rsidR="006C4BCB" w:rsidRPr="007D230E" w:rsidTr="00A71F41">
        <w:trPr>
          <w:trHeight w:val="80"/>
          <w:tblCellSpacing w:w="15" w:type="dxa"/>
        </w:trPr>
        <w:tc>
          <w:tcPr>
            <w:tcW w:w="2977" w:type="dxa"/>
            <w:tcMar>
              <w:top w:w="15" w:type="dxa"/>
              <w:left w:w="15" w:type="dxa"/>
              <w:bottom w:w="15" w:type="dxa"/>
              <w:right w:w="15" w:type="dxa"/>
            </w:tcMar>
            <w:hideMark/>
          </w:tcPr>
          <w:p w:rsidR="006C4BCB" w:rsidRPr="007D230E" w:rsidRDefault="006C4BCB" w:rsidP="008B57D2">
            <w:pPr>
              <w:ind w:left="142"/>
              <w:rPr>
                <w:rFonts w:cs="Arial"/>
                <w:sz w:val="24"/>
                <w:lang w:val="en-NZ" w:eastAsia="en-NZ"/>
              </w:rPr>
            </w:pPr>
            <w:r w:rsidRPr="007D230E">
              <w:rPr>
                <w:rFonts w:cs="Arial"/>
                <w:sz w:val="20"/>
                <w:szCs w:val="20"/>
                <w:lang w:val="en-NZ" w:eastAsia="en-NZ"/>
              </w:rPr>
              <w:t>Current term expires:</w:t>
            </w:r>
            <w:r w:rsidRPr="007D230E">
              <w:rPr>
                <w:rFonts w:cs="Arial"/>
                <w:sz w:val="24"/>
                <w:lang w:val="en-NZ" w:eastAsia="en-NZ"/>
              </w:rPr>
              <w:t xml:space="preserve"> </w:t>
            </w:r>
          </w:p>
        </w:tc>
        <w:tc>
          <w:tcPr>
            <w:tcW w:w="5288" w:type="dxa"/>
            <w:tcMar>
              <w:top w:w="15" w:type="dxa"/>
              <w:left w:w="15" w:type="dxa"/>
              <w:bottom w:w="15" w:type="dxa"/>
              <w:right w:w="15" w:type="dxa"/>
            </w:tcMar>
            <w:hideMark/>
          </w:tcPr>
          <w:p w:rsidR="006C4BCB" w:rsidRPr="007D230E" w:rsidRDefault="006C4BCB" w:rsidP="008B57D2">
            <w:pPr>
              <w:ind w:left="142"/>
              <w:rPr>
                <w:rFonts w:cs="Arial"/>
                <w:sz w:val="20"/>
                <w:szCs w:val="20"/>
                <w:lang w:val="en-NZ" w:eastAsia="en-NZ"/>
              </w:rPr>
            </w:pPr>
            <w:r w:rsidRPr="007D230E">
              <w:rPr>
                <w:rFonts w:cs="Arial"/>
                <w:sz w:val="20"/>
                <w:szCs w:val="20"/>
                <w:lang w:val="en-NZ" w:eastAsia="en-NZ"/>
              </w:rPr>
              <w:t xml:space="preserve">14 Dec 2018 </w:t>
            </w:r>
          </w:p>
        </w:tc>
      </w:tr>
    </w:tbl>
    <w:p w:rsidR="0040216C" w:rsidRPr="007D230E" w:rsidRDefault="00335680" w:rsidP="008B57D2">
      <w:pPr>
        <w:rPr>
          <w:rFonts w:cs="Arial"/>
          <w:sz w:val="16"/>
        </w:rPr>
      </w:pPr>
      <w:r w:rsidRPr="007D230E">
        <w:rPr>
          <w:rFonts w:cs="Arial"/>
          <w:sz w:val="15"/>
          <w:szCs w:val="15"/>
          <w:lang w:val="en-NZ" w:eastAsia="en-NZ"/>
        </w:rPr>
        <w:br/>
      </w:r>
      <w:r w:rsidRPr="007D230E">
        <w:rPr>
          <w:rFonts w:cs="Arial"/>
          <w:sz w:val="16"/>
          <w:szCs w:val="16"/>
        </w:rPr>
        <w:t xml:space="preserve">Kate O'Connor is the Executive Secretary of the AUT Ethics Committee, having been a member of the committee for 5 years whist working as Senior Research Contracts Specialist in AUT's Research Office. Prior to this she worked as a research Contracts Manager for </w:t>
      </w:r>
      <w:proofErr w:type="spellStart"/>
      <w:r w:rsidRPr="007D230E">
        <w:rPr>
          <w:rFonts w:cs="Arial"/>
          <w:sz w:val="16"/>
          <w:szCs w:val="16"/>
        </w:rPr>
        <w:t>Uni</w:t>
      </w:r>
      <w:proofErr w:type="spellEnd"/>
      <w:r w:rsidRPr="007D230E">
        <w:rPr>
          <w:rFonts w:cs="Arial"/>
          <w:sz w:val="16"/>
          <w:szCs w:val="16"/>
        </w:rPr>
        <w:t xml:space="preserve"> Services Ltd in the University of Auckland's School of Population Health, and was Secretary for the University of Auckland's Human Participants Ethics Committee, and the Biological Safety Committee. She has Master of Arts in philosophy and a Post Graduate Diploma in Business. She is a member of the NZ Branch Executive of the Australasian Research Management Society. In 2014, Kate began a </w:t>
      </w:r>
      <w:proofErr w:type="spellStart"/>
      <w:r w:rsidRPr="007D230E">
        <w:rPr>
          <w:rFonts w:cs="Arial"/>
          <w:sz w:val="16"/>
          <w:szCs w:val="16"/>
        </w:rPr>
        <w:t>DHSc</w:t>
      </w:r>
      <w:proofErr w:type="spellEnd"/>
      <w:r w:rsidRPr="007D230E">
        <w:rPr>
          <w:rFonts w:cs="Arial"/>
          <w:sz w:val="16"/>
          <w:szCs w:val="16"/>
        </w:rPr>
        <w:t xml:space="preserve"> investigating how Michel Foucault’s theoretical toolbox may be used to inspire transformation in the practice of research ethics committees.</w:t>
      </w:r>
    </w:p>
    <w:p w:rsidR="00335680" w:rsidRPr="007D230E" w:rsidRDefault="00335680" w:rsidP="00445A67">
      <w:pPr>
        <w:rPr>
          <w:rFonts w:cs="Arial"/>
          <w:sz w:val="16"/>
        </w:rPr>
      </w:pPr>
    </w:p>
    <w:tbl>
      <w:tblPr>
        <w:tblW w:w="8227" w:type="dxa"/>
        <w:tblCellSpacing w:w="15" w:type="dxa"/>
        <w:tblCellMar>
          <w:left w:w="0" w:type="dxa"/>
          <w:right w:w="0" w:type="dxa"/>
        </w:tblCellMar>
        <w:tblLook w:val="04A0" w:firstRow="1" w:lastRow="0" w:firstColumn="1" w:lastColumn="0" w:noHBand="0" w:noVBand="1"/>
      </w:tblPr>
      <w:tblGrid>
        <w:gridCol w:w="3168"/>
        <w:gridCol w:w="5059"/>
      </w:tblGrid>
      <w:tr w:rsidR="0040216C" w:rsidRPr="007D230E" w:rsidTr="00C36C4E">
        <w:trPr>
          <w:trHeight w:val="211"/>
          <w:tblCellSpacing w:w="15" w:type="dxa"/>
        </w:trPr>
        <w:tc>
          <w:tcPr>
            <w:tcW w:w="0" w:type="auto"/>
            <w:gridSpan w:val="2"/>
            <w:tcMar>
              <w:top w:w="15" w:type="dxa"/>
              <w:left w:w="15" w:type="dxa"/>
              <w:bottom w:w="15" w:type="dxa"/>
              <w:right w:w="15" w:type="dxa"/>
            </w:tcMar>
            <w:hideMark/>
          </w:tcPr>
          <w:p w:rsidR="0040216C" w:rsidRPr="007D230E" w:rsidRDefault="0040216C" w:rsidP="008B57D2">
            <w:pPr>
              <w:ind w:left="142"/>
              <w:rPr>
                <w:rFonts w:cs="Arial"/>
                <w:sz w:val="24"/>
                <w:lang w:val="en-NZ" w:eastAsia="en-NZ"/>
              </w:rPr>
            </w:pPr>
            <w:r w:rsidRPr="007D230E">
              <w:rPr>
                <w:rFonts w:cs="Arial"/>
                <w:b/>
                <w:bCs/>
                <w:sz w:val="20"/>
                <w:szCs w:val="20"/>
                <w:lang w:val="en-NZ" w:eastAsia="en-NZ"/>
              </w:rPr>
              <w:t xml:space="preserve">Mrs </w:t>
            </w:r>
            <w:proofErr w:type="spellStart"/>
            <w:r w:rsidRPr="007D230E">
              <w:rPr>
                <w:rFonts w:cs="Arial"/>
                <w:b/>
                <w:bCs/>
                <w:sz w:val="20"/>
                <w:szCs w:val="20"/>
                <w:lang w:val="en-NZ" w:eastAsia="en-NZ"/>
              </w:rPr>
              <w:t>Mali</w:t>
            </w:r>
            <w:r w:rsidR="00C54D5B" w:rsidRPr="007D230E">
              <w:rPr>
                <w:rFonts w:cs="Arial"/>
                <w:b/>
                <w:bCs/>
                <w:sz w:val="20"/>
                <w:szCs w:val="20"/>
                <w:lang w:val="en-NZ" w:eastAsia="en-NZ"/>
              </w:rPr>
              <w:t>a</w:t>
            </w:r>
            <w:r w:rsidRPr="007D230E">
              <w:rPr>
                <w:rFonts w:cs="Arial"/>
                <w:b/>
                <w:bCs/>
                <w:sz w:val="20"/>
                <w:szCs w:val="20"/>
                <w:lang w:val="en-NZ" w:eastAsia="en-NZ"/>
              </w:rPr>
              <w:t>ga</w:t>
            </w:r>
            <w:proofErr w:type="spellEnd"/>
            <w:r w:rsidRPr="007D230E">
              <w:rPr>
                <w:rFonts w:cs="Arial"/>
                <w:b/>
                <w:bCs/>
                <w:sz w:val="20"/>
                <w:szCs w:val="20"/>
                <w:lang w:val="en-NZ" w:eastAsia="en-NZ"/>
              </w:rPr>
              <w:t xml:space="preserve"> Erick</w:t>
            </w:r>
          </w:p>
        </w:tc>
      </w:tr>
      <w:tr w:rsidR="0040216C" w:rsidRPr="007D230E" w:rsidTr="00C36C4E">
        <w:trPr>
          <w:trHeight w:val="224"/>
          <w:tblCellSpacing w:w="15" w:type="dxa"/>
        </w:trPr>
        <w:tc>
          <w:tcPr>
            <w:tcW w:w="0" w:type="auto"/>
            <w:tcMar>
              <w:top w:w="15" w:type="dxa"/>
              <w:left w:w="15" w:type="dxa"/>
              <w:bottom w:w="15" w:type="dxa"/>
              <w:right w:w="15" w:type="dxa"/>
            </w:tcMar>
            <w:hideMark/>
          </w:tcPr>
          <w:p w:rsidR="0040216C" w:rsidRPr="007D230E" w:rsidRDefault="0040216C" w:rsidP="008B57D2">
            <w:pPr>
              <w:ind w:left="142"/>
              <w:rPr>
                <w:rFonts w:cs="Arial"/>
                <w:sz w:val="24"/>
                <w:lang w:val="en-NZ" w:eastAsia="en-NZ"/>
              </w:rPr>
            </w:pPr>
            <w:r w:rsidRPr="007D230E">
              <w:rPr>
                <w:rFonts w:cs="Arial"/>
                <w:sz w:val="20"/>
                <w:szCs w:val="20"/>
                <w:lang w:val="en-NZ" w:eastAsia="en-NZ"/>
              </w:rPr>
              <w:t>Membership category:</w:t>
            </w:r>
            <w:r w:rsidRPr="007D230E">
              <w:rPr>
                <w:rFonts w:cs="Arial"/>
                <w:sz w:val="24"/>
                <w:lang w:val="en-NZ" w:eastAsia="en-NZ"/>
              </w:rPr>
              <w:t xml:space="preserve"> </w:t>
            </w:r>
          </w:p>
        </w:tc>
        <w:tc>
          <w:tcPr>
            <w:tcW w:w="0" w:type="auto"/>
            <w:tcMar>
              <w:top w:w="15" w:type="dxa"/>
              <w:left w:w="15" w:type="dxa"/>
              <w:bottom w:w="15" w:type="dxa"/>
              <w:right w:w="15" w:type="dxa"/>
            </w:tcMar>
            <w:hideMark/>
          </w:tcPr>
          <w:p w:rsidR="0040216C" w:rsidRPr="007D230E" w:rsidRDefault="00FC6A82" w:rsidP="00445A67">
            <w:pPr>
              <w:rPr>
                <w:rFonts w:cs="Arial"/>
                <w:sz w:val="24"/>
                <w:lang w:val="en-NZ" w:eastAsia="en-NZ"/>
              </w:rPr>
            </w:pPr>
            <w:r>
              <w:rPr>
                <w:rFonts w:cs="Arial"/>
                <w:sz w:val="20"/>
                <w:szCs w:val="20"/>
                <w:lang w:val="en-NZ" w:eastAsia="en-NZ"/>
              </w:rPr>
              <w:t>Consumer / Community r</w:t>
            </w:r>
            <w:r w:rsidR="0040216C" w:rsidRPr="007D230E">
              <w:rPr>
                <w:rFonts w:cs="Arial"/>
                <w:sz w:val="20"/>
                <w:szCs w:val="20"/>
                <w:lang w:val="en-NZ" w:eastAsia="en-NZ"/>
              </w:rPr>
              <w:t>epresentative</w:t>
            </w:r>
          </w:p>
        </w:tc>
      </w:tr>
      <w:tr w:rsidR="0040216C" w:rsidRPr="007D230E" w:rsidTr="00C36C4E">
        <w:trPr>
          <w:trHeight w:val="211"/>
          <w:tblCellSpacing w:w="15" w:type="dxa"/>
        </w:trPr>
        <w:tc>
          <w:tcPr>
            <w:tcW w:w="0" w:type="auto"/>
            <w:tcMar>
              <w:top w:w="15" w:type="dxa"/>
              <w:left w:w="15" w:type="dxa"/>
              <w:bottom w:w="15" w:type="dxa"/>
              <w:right w:w="15" w:type="dxa"/>
            </w:tcMar>
            <w:hideMark/>
          </w:tcPr>
          <w:p w:rsidR="0040216C" w:rsidRPr="007D230E" w:rsidRDefault="0040216C" w:rsidP="008B57D2">
            <w:pPr>
              <w:ind w:left="142"/>
              <w:rPr>
                <w:rFonts w:cs="Arial"/>
                <w:sz w:val="24"/>
                <w:lang w:val="en-NZ" w:eastAsia="en-NZ"/>
              </w:rPr>
            </w:pPr>
            <w:r w:rsidRPr="007D230E">
              <w:rPr>
                <w:rFonts w:cs="Arial"/>
                <w:sz w:val="20"/>
                <w:szCs w:val="20"/>
                <w:lang w:val="en-NZ" w:eastAsia="en-NZ"/>
              </w:rPr>
              <w:t>Date of appointment:</w:t>
            </w:r>
            <w:r w:rsidRPr="007D230E">
              <w:rPr>
                <w:rFonts w:cs="Arial"/>
                <w:sz w:val="24"/>
                <w:lang w:val="en-NZ" w:eastAsia="en-NZ"/>
              </w:rPr>
              <w:t xml:space="preserve"> </w:t>
            </w:r>
          </w:p>
        </w:tc>
        <w:tc>
          <w:tcPr>
            <w:tcW w:w="0" w:type="auto"/>
            <w:tcMar>
              <w:top w:w="15" w:type="dxa"/>
              <w:left w:w="15" w:type="dxa"/>
              <w:bottom w:w="15" w:type="dxa"/>
              <w:right w:w="15" w:type="dxa"/>
            </w:tcMar>
            <w:hideMark/>
          </w:tcPr>
          <w:p w:rsidR="0040216C" w:rsidRPr="007D230E" w:rsidRDefault="00335680" w:rsidP="00445A67">
            <w:pPr>
              <w:rPr>
                <w:rFonts w:cs="Arial"/>
                <w:sz w:val="24"/>
                <w:lang w:val="en-NZ" w:eastAsia="en-NZ"/>
              </w:rPr>
            </w:pPr>
            <w:r w:rsidRPr="007D230E">
              <w:rPr>
                <w:rFonts w:cs="Arial"/>
                <w:sz w:val="20"/>
                <w:szCs w:val="20"/>
                <w:lang w:val="en-NZ" w:eastAsia="en-NZ"/>
              </w:rPr>
              <w:t>24</w:t>
            </w:r>
            <w:r w:rsidR="0040216C" w:rsidRPr="007D230E">
              <w:rPr>
                <w:rFonts w:cs="Arial"/>
                <w:sz w:val="20"/>
                <w:szCs w:val="20"/>
                <w:lang w:val="en-NZ" w:eastAsia="en-NZ"/>
              </w:rPr>
              <w:t xml:space="preserve"> July 201</w:t>
            </w:r>
            <w:r w:rsidRPr="007D230E">
              <w:rPr>
                <w:rFonts w:cs="Arial"/>
                <w:sz w:val="20"/>
                <w:szCs w:val="20"/>
                <w:lang w:val="en-NZ" w:eastAsia="en-NZ"/>
              </w:rPr>
              <w:t>5</w:t>
            </w:r>
          </w:p>
        </w:tc>
      </w:tr>
      <w:tr w:rsidR="0040216C" w:rsidRPr="007D230E" w:rsidTr="00C36C4E">
        <w:trPr>
          <w:trHeight w:val="211"/>
          <w:tblCellSpacing w:w="15" w:type="dxa"/>
        </w:trPr>
        <w:tc>
          <w:tcPr>
            <w:tcW w:w="0" w:type="auto"/>
            <w:tcMar>
              <w:top w:w="15" w:type="dxa"/>
              <w:left w:w="15" w:type="dxa"/>
              <w:bottom w:w="15" w:type="dxa"/>
              <w:right w:w="15" w:type="dxa"/>
            </w:tcMar>
            <w:hideMark/>
          </w:tcPr>
          <w:p w:rsidR="0040216C" w:rsidRPr="007D230E" w:rsidRDefault="0040216C" w:rsidP="008B57D2">
            <w:pPr>
              <w:ind w:left="142"/>
              <w:rPr>
                <w:rFonts w:cs="Arial"/>
                <w:sz w:val="24"/>
                <w:lang w:val="en-NZ" w:eastAsia="en-NZ"/>
              </w:rPr>
            </w:pPr>
            <w:r w:rsidRPr="007D230E">
              <w:rPr>
                <w:rFonts w:cs="Arial"/>
                <w:sz w:val="20"/>
                <w:szCs w:val="20"/>
                <w:lang w:val="en-NZ" w:eastAsia="en-NZ"/>
              </w:rPr>
              <w:t>Current term expires:</w:t>
            </w:r>
            <w:r w:rsidRPr="007D230E">
              <w:rPr>
                <w:rFonts w:cs="Arial"/>
                <w:sz w:val="24"/>
                <w:lang w:val="en-NZ" w:eastAsia="en-NZ"/>
              </w:rPr>
              <w:t xml:space="preserve"> </w:t>
            </w:r>
          </w:p>
        </w:tc>
        <w:tc>
          <w:tcPr>
            <w:tcW w:w="0" w:type="auto"/>
            <w:tcMar>
              <w:top w:w="15" w:type="dxa"/>
              <w:left w:w="15" w:type="dxa"/>
              <w:bottom w:w="15" w:type="dxa"/>
              <w:right w:w="15" w:type="dxa"/>
            </w:tcMar>
            <w:hideMark/>
          </w:tcPr>
          <w:p w:rsidR="0040216C" w:rsidRPr="007D230E" w:rsidRDefault="00335680" w:rsidP="00445A67">
            <w:pPr>
              <w:rPr>
                <w:rFonts w:cs="Arial"/>
                <w:sz w:val="24"/>
                <w:lang w:val="en-NZ" w:eastAsia="en-NZ"/>
              </w:rPr>
            </w:pPr>
            <w:r w:rsidRPr="007D230E">
              <w:rPr>
                <w:rFonts w:cs="Arial"/>
                <w:sz w:val="20"/>
                <w:szCs w:val="20"/>
                <w:lang w:val="en-NZ" w:eastAsia="en-NZ"/>
              </w:rPr>
              <w:t>24 July 2018</w:t>
            </w:r>
          </w:p>
        </w:tc>
      </w:tr>
    </w:tbl>
    <w:p w:rsidR="0040216C" w:rsidRPr="007D230E" w:rsidRDefault="0040216C" w:rsidP="00445A67">
      <w:pPr>
        <w:rPr>
          <w:rFonts w:cs="Arial"/>
          <w:sz w:val="16"/>
          <w:szCs w:val="16"/>
        </w:rPr>
      </w:pPr>
    </w:p>
    <w:p w:rsidR="0040216C" w:rsidRPr="007D230E" w:rsidRDefault="0040216C" w:rsidP="008B57D2">
      <w:pPr>
        <w:rPr>
          <w:rFonts w:cs="Arial"/>
          <w:sz w:val="16"/>
          <w:szCs w:val="16"/>
        </w:rPr>
      </w:pPr>
      <w:proofErr w:type="spellStart"/>
      <w:r w:rsidRPr="007D230E">
        <w:rPr>
          <w:rFonts w:cs="Arial"/>
          <w:sz w:val="16"/>
          <w:szCs w:val="16"/>
        </w:rPr>
        <w:t>Maliaga</w:t>
      </w:r>
      <w:proofErr w:type="spellEnd"/>
      <w:r w:rsidRPr="007D230E">
        <w:rPr>
          <w:rFonts w:cs="Arial"/>
          <w:sz w:val="16"/>
          <w:szCs w:val="16"/>
        </w:rPr>
        <w:t xml:space="preserve"> Erick is currently working for the </w:t>
      </w:r>
      <w:proofErr w:type="spellStart"/>
      <w:r w:rsidRPr="007D230E">
        <w:rPr>
          <w:rFonts w:cs="Arial"/>
          <w:sz w:val="16"/>
          <w:szCs w:val="16"/>
        </w:rPr>
        <w:t>Werry</w:t>
      </w:r>
      <w:proofErr w:type="spellEnd"/>
      <w:r w:rsidRPr="007D230E">
        <w:rPr>
          <w:rFonts w:cs="Arial"/>
          <w:sz w:val="16"/>
          <w:szCs w:val="16"/>
        </w:rPr>
        <w:t xml:space="preserve"> Centre Child and Adolescent mental health workforce development as a Pacific Clinical Advisor. She is a mother of seven children and a grandmother of 12 grandchildren. She has in the past been on School Board of Trustees and non-government agencies</w:t>
      </w:r>
      <w:r w:rsidR="00FC6A82">
        <w:rPr>
          <w:rFonts w:cs="Arial"/>
          <w:sz w:val="16"/>
          <w:szCs w:val="16"/>
        </w:rPr>
        <w:t>. Mali has a background in the c</w:t>
      </w:r>
      <w:r w:rsidRPr="007D230E">
        <w:rPr>
          <w:rFonts w:cs="Arial"/>
          <w:sz w:val="16"/>
          <w:szCs w:val="16"/>
        </w:rPr>
        <w:t xml:space="preserve">are and </w:t>
      </w:r>
      <w:r w:rsidR="00FC6A82">
        <w:rPr>
          <w:rFonts w:cs="Arial"/>
          <w:sz w:val="16"/>
          <w:szCs w:val="16"/>
        </w:rPr>
        <w:t>protection of children, f</w:t>
      </w:r>
      <w:r w:rsidR="00693DA8">
        <w:rPr>
          <w:rFonts w:cs="Arial"/>
          <w:sz w:val="16"/>
          <w:szCs w:val="16"/>
        </w:rPr>
        <w:t>amily violence, and mental h</w:t>
      </w:r>
      <w:r w:rsidRPr="007D230E">
        <w:rPr>
          <w:rFonts w:cs="Arial"/>
          <w:sz w:val="16"/>
          <w:szCs w:val="16"/>
        </w:rPr>
        <w:t xml:space="preserve">ealth and Pacific health research projects. </w:t>
      </w:r>
    </w:p>
    <w:p w:rsidR="0040216C" w:rsidRPr="007D230E" w:rsidRDefault="0040216C" w:rsidP="00445A67">
      <w:pPr>
        <w:rPr>
          <w:rFonts w:cs="Arial"/>
          <w:sz w:val="16"/>
        </w:rPr>
      </w:pPr>
    </w:p>
    <w:tbl>
      <w:tblPr>
        <w:tblW w:w="8700" w:type="dxa"/>
        <w:tblCellSpacing w:w="15" w:type="dxa"/>
        <w:tblInd w:w="142" w:type="dxa"/>
        <w:tblCellMar>
          <w:left w:w="0" w:type="dxa"/>
          <w:right w:w="0" w:type="dxa"/>
        </w:tblCellMar>
        <w:tblLook w:val="04A0" w:firstRow="1" w:lastRow="0" w:firstColumn="1" w:lastColumn="0" w:noHBand="0" w:noVBand="1"/>
      </w:tblPr>
      <w:tblGrid>
        <w:gridCol w:w="63"/>
        <w:gridCol w:w="2880"/>
        <w:gridCol w:w="5712"/>
        <w:gridCol w:w="45"/>
      </w:tblGrid>
      <w:tr w:rsidR="0048051B" w:rsidRPr="007D230E" w:rsidTr="00693DA8">
        <w:trPr>
          <w:gridBefore w:val="1"/>
          <w:wBefore w:w="18" w:type="dxa"/>
          <w:trHeight w:val="225"/>
          <w:tblCellSpacing w:w="15" w:type="dxa"/>
        </w:trPr>
        <w:tc>
          <w:tcPr>
            <w:tcW w:w="0" w:type="auto"/>
            <w:gridSpan w:val="3"/>
            <w:tcMar>
              <w:top w:w="15" w:type="dxa"/>
              <w:left w:w="15" w:type="dxa"/>
              <w:bottom w:w="15" w:type="dxa"/>
              <w:right w:w="15" w:type="dxa"/>
            </w:tcMar>
            <w:hideMark/>
          </w:tcPr>
          <w:p w:rsidR="0048051B" w:rsidRPr="007D230E" w:rsidRDefault="0048051B" w:rsidP="00445A67">
            <w:pPr>
              <w:rPr>
                <w:rFonts w:cs="Arial"/>
                <w:sz w:val="24"/>
                <w:lang w:val="en-NZ" w:eastAsia="en-NZ"/>
              </w:rPr>
            </w:pPr>
            <w:r w:rsidRPr="007D230E">
              <w:rPr>
                <w:rFonts w:cs="Arial"/>
                <w:b/>
                <w:bCs/>
                <w:sz w:val="20"/>
                <w:szCs w:val="20"/>
                <w:lang w:val="en-NZ" w:eastAsia="en-NZ"/>
              </w:rPr>
              <w:t xml:space="preserve">Mrs Phyllis </w:t>
            </w:r>
            <w:proofErr w:type="spellStart"/>
            <w:r w:rsidRPr="007D230E">
              <w:rPr>
                <w:rFonts w:cs="Arial"/>
                <w:b/>
                <w:bCs/>
                <w:sz w:val="20"/>
                <w:szCs w:val="20"/>
                <w:lang w:val="en-NZ" w:eastAsia="en-NZ"/>
              </w:rPr>
              <w:t>Huitema</w:t>
            </w:r>
            <w:proofErr w:type="spellEnd"/>
          </w:p>
        </w:tc>
      </w:tr>
      <w:tr w:rsidR="006C4BCB" w:rsidRPr="007D230E" w:rsidTr="00693DA8">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rsidR="006C4BCB" w:rsidRPr="007D230E" w:rsidRDefault="006C4BCB" w:rsidP="00445A67">
            <w:pPr>
              <w:rPr>
                <w:rFonts w:cs="Arial"/>
                <w:sz w:val="20"/>
                <w:szCs w:val="20"/>
                <w:lang w:val="en-NZ" w:eastAsia="en-NZ"/>
              </w:rPr>
            </w:pPr>
            <w:r w:rsidRPr="007D230E">
              <w:rPr>
                <w:rFonts w:cs="Arial"/>
                <w:sz w:val="20"/>
                <w:szCs w:val="20"/>
                <w:lang w:val="en-NZ" w:eastAsia="en-NZ"/>
              </w:rPr>
              <w:t>Membership category:</w:t>
            </w:r>
          </w:p>
        </w:tc>
        <w:tc>
          <w:tcPr>
            <w:tcW w:w="5682" w:type="dxa"/>
          </w:tcPr>
          <w:p w:rsidR="006C4BCB" w:rsidRPr="007D230E" w:rsidRDefault="00693DA8" w:rsidP="008B57D2">
            <w:pPr>
              <w:ind w:left="176"/>
              <w:rPr>
                <w:rFonts w:cs="Arial"/>
                <w:sz w:val="24"/>
                <w:lang w:val="en-NZ" w:eastAsia="en-NZ"/>
              </w:rPr>
            </w:pPr>
            <w:r>
              <w:rPr>
                <w:rFonts w:cs="Arial"/>
                <w:sz w:val="20"/>
                <w:szCs w:val="20"/>
                <w:lang w:val="en-NZ" w:eastAsia="en-NZ"/>
              </w:rPr>
              <w:t>Consumer / Community r</w:t>
            </w:r>
            <w:r w:rsidR="006C4BCB" w:rsidRPr="007D230E">
              <w:rPr>
                <w:rFonts w:cs="Arial"/>
                <w:sz w:val="20"/>
                <w:szCs w:val="20"/>
                <w:lang w:val="en-NZ" w:eastAsia="en-NZ"/>
              </w:rPr>
              <w:t>epresentative</w:t>
            </w:r>
          </w:p>
        </w:tc>
      </w:tr>
      <w:tr w:rsidR="0048051B" w:rsidRPr="007D230E" w:rsidTr="00693DA8">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rsidR="0048051B" w:rsidRPr="007D230E" w:rsidRDefault="0048051B" w:rsidP="00445A67">
            <w:pPr>
              <w:rPr>
                <w:rFonts w:cs="Arial"/>
                <w:sz w:val="20"/>
                <w:szCs w:val="20"/>
                <w:lang w:val="en-NZ" w:eastAsia="en-NZ"/>
              </w:rPr>
            </w:pPr>
            <w:r w:rsidRPr="007D230E">
              <w:rPr>
                <w:rFonts w:cs="Arial"/>
                <w:sz w:val="20"/>
                <w:szCs w:val="20"/>
                <w:lang w:val="en-NZ" w:eastAsia="en-NZ"/>
              </w:rPr>
              <w:t>Date of appointment:</w:t>
            </w:r>
          </w:p>
        </w:tc>
        <w:tc>
          <w:tcPr>
            <w:tcW w:w="5682" w:type="dxa"/>
          </w:tcPr>
          <w:p w:rsidR="0048051B" w:rsidRPr="007D230E" w:rsidRDefault="0048051B" w:rsidP="008B57D2">
            <w:pPr>
              <w:ind w:left="176"/>
              <w:rPr>
                <w:rFonts w:cs="Arial"/>
                <w:sz w:val="20"/>
                <w:szCs w:val="20"/>
                <w:lang w:val="en-NZ" w:eastAsia="en-NZ"/>
              </w:rPr>
            </w:pPr>
            <w:r w:rsidRPr="007D230E">
              <w:rPr>
                <w:rFonts w:cs="Arial"/>
                <w:sz w:val="20"/>
                <w:szCs w:val="20"/>
                <w:lang w:val="en-NZ" w:eastAsia="en-NZ"/>
              </w:rPr>
              <w:t>19 May 2014</w:t>
            </w:r>
          </w:p>
        </w:tc>
      </w:tr>
      <w:tr w:rsidR="0048051B" w:rsidRPr="007D230E" w:rsidTr="00693DA8">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rsidR="0048051B" w:rsidRPr="007D230E" w:rsidRDefault="0048051B" w:rsidP="00445A67">
            <w:pPr>
              <w:rPr>
                <w:rFonts w:cs="Arial"/>
                <w:sz w:val="20"/>
                <w:szCs w:val="20"/>
                <w:lang w:val="en-NZ" w:eastAsia="en-NZ"/>
              </w:rPr>
            </w:pPr>
            <w:r w:rsidRPr="007D230E">
              <w:rPr>
                <w:rFonts w:cs="Arial"/>
                <w:sz w:val="20"/>
                <w:szCs w:val="20"/>
                <w:lang w:val="en-NZ" w:eastAsia="en-NZ"/>
              </w:rPr>
              <w:t>Current term expires:</w:t>
            </w:r>
          </w:p>
        </w:tc>
        <w:tc>
          <w:tcPr>
            <w:tcW w:w="5682" w:type="dxa"/>
          </w:tcPr>
          <w:p w:rsidR="0048051B" w:rsidRPr="007D230E" w:rsidRDefault="0048051B" w:rsidP="008B57D2">
            <w:pPr>
              <w:ind w:left="176"/>
              <w:rPr>
                <w:rFonts w:cs="Arial"/>
                <w:sz w:val="20"/>
                <w:szCs w:val="20"/>
                <w:lang w:val="en-NZ" w:eastAsia="en-NZ"/>
              </w:rPr>
            </w:pPr>
            <w:r w:rsidRPr="007D230E">
              <w:rPr>
                <w:rFonts w:cs="Arial"/>
                <w:sz w:val="20"/>
                <w:szCs w:val="20"/>
                <w:lang w:val="en-NZ" w:eastAsia="en-NZ"/>
              </w:rPr>
              <w:t>19 May 2017</w:t>
            </w:r>
          </w:p>
        </w:tc>
      </w:tr>
    </w:tbl>
    <w:p w:rsidR="00A71F41" w:rsidRPr="007D230E" w:rsidRDefault="00A71F41" w:rsidP="00445A67">
      <w:pPr>
        <w:rPr>
          <w:rFonts w:cs="Arial"/>
          <w:sz w:val="16"/>
          <w:szCs w:val="16"/>
          <w:lang w:val="en-NZ" w:eastAsia="en-NZ"/>
        </w:rPr>
      </w:pPr>
    </w:p>
    <w:p w:rsidR="00242E53" w:rsidRPr="007D230E" w:rsidRDefault="00242E53" w:rsidP="008B57D2">
      <w:pPr>
        <w:rPr>
          <w:rFonts w:cs="Arial"/>
          <w:sz w:val="16"/>
          <w:szCs w:val="16"/>
          <w:lang w:val="en-NZ" w:eastAsia="en-NZ"/>
        </w:rPr>
      </w:pPr>
      <w:r w:rsidRPr="007D230E">
        <w:rPr>
          <w:rFonts w:cs="Arial"/>
          <w:sz w:val="16"/>
          <w:szCs w:val="16"/>
          <w:lang w:val="en-NZ" w:eastAsia="en-NZ"/>
        </w:rPr>
        <w:t xml:space="preserve">Mrs </w:t>
      </w:r>
      <w:proofErr w:type="spellStart"/>
      <w:r w:rsidRPr="007D230E">
        <w:rPr>
          <w:rFonts w:cs="Arial"/>
          <w:sz w:val="16"/>
          <w:szCs w:val="16"/>
          <w:lang w:val="en-NZ" w:eastAsia="en-NZ"/>
        </w:rPr>
        <w:t>Huitema</w:t>
      </w:r>
      <w:proofErr w:type="spellEnd"/>
      <w:r w:rsidRPr="007D230E">
        <w:rPr>
          <w:rFonts w:cs="Arial"/>
          <w:sz w:val="16"/>
          <w:szCs w:val="16"/>
          <w:lang w:val="en-NZ" w:eastAsia="en-NZ"/>
        </w:rPr>
        <w:t xml:space="preserve"> works as Convenor /Chair of Professional Conduct Committees who work under the Health Practitioners Competence Act 2003, a role she has had since 1996. She also has a Community Liaison role with the Neurological Foundation of New Zealand and has been a lay member of the Dr Mercia Barnes Trust since 2002. Mrs </w:t>
      </w:r>
      <w:proofErr w:type="spellStart"/>
      <w:r w:rsidRPr="007D230E">
        <w:rPr>
          <w:rFonts w:cs="Arial"/>
          <w:sz w:val="16"/>
          <w:szCs w:val="16"/>
          <w:lang w:val="en-NZ" w:eastAsia="en-NZ"/>
        </w:rPr>
        <w:t>Huitema</w:t>
      </w:r>
      <w:proofErr w:type="spellEnd"/>
      <w:r w:rsidRPr="007D230E">
        <w:rPr>
          <w:rFonts w:cs="Arial"/>
          <w:sz w:val="16"/>
          <w:szCs w:val="16"/>
          <w:lang w:val="en-NZ" w:eastAsia="en-NZ"/>
        </w:rPr>
        <w:t xml:space="preserve"> has been a Justice of the Peace since 1999 and has also held roles on a number of national and local health-related Ethics Committees. </w:t>
      </w:r>
    </w:p>
    <w:p w:rsidR="0048051B" w:rsidRPr="007D230E" w:rsidRDefault="0048051B" w:rsidP="00445A67">
      <w:pPr>
        <w:tabs>
          <w:tab w:val="num" w:pos="851"/>
        </w:tabs>
        <w:rPr>
          <w:rFonts w:cs="Arial"/>
          <w:sz w:val="16"/>
          <w:szCs w:val="16"/>
          <w:lang w:val="en-NZ" w:eastAsia="en-NZ"/>
        </w:rPr>
      </w:pP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3022"/>
        <w:gridCol w:w="5570"/>
        <w:gridCol w:w="45"/>
      </w:tblGrid>
      <w:tr w:rsidR="0048051B" w:rsidRPr="007D230E" w:rsidTr="003343B4">
        <w:trPr>
          <w:gridBefore w:val="1"/>
          <w:wBefore w:w="18" w:type="dxa"/>
          <w:trHeight w:val="225"/>
          <w:tblCellSpacing w:w="15" w:type="dxa"/>
        </w:trPr>
        <w:tc>
          <w:tcPr>
            <w:tcW w:w="0" w:type="auto"/>
            <w:gridSpan w:val="3"/>
            <w:tcMar>
              <w:top w:w="15" w:type="dxa"/>
              <w:left w:w="15" w:type="dxa"/>
              <w:bottom w:w="15" w:type="dxa"/>
              <w:right w:w="15" w:type="dxa"/>
            </w:tcMar>
            <w:hideMark/>
          </w:tcPr>
          <w:p w:rsidR="0048051B" w:rsidRPr="007D230E" w:rsidRDefault="0048051B" w:rsidP="008B57D2">
            <w:pPr>
              <w:ind w:left="142"/>
              <w:rPr>
                <w:rFonts w:cs="Arial"/>
                <w:sz w:val="24"/>
                <w:lang w:val="en-NZ" w:eastAsia="en-NZ"/>
              </w:rPr>
            </w:pPr>
            <w:r w:rsidRPr="007D230E">
              <w:rPr>
                <w:rFonts w:cs="Arial"/>
                <w:b/>
                <w:bCs/>
                <w:sz w:val="20"/>
                <w:szCs w:val="20"/>
                <w:lang w:val="en-NZ" w:eastAsia="en-NZ"/>
              </w:rPr>
              <w:t xml:space="preserve">Miss </w:t>
            </w:r>
            <w:proofErr w:type="spellStart"/>
            <w:r w:rsidRPr="007D230E">
              <w:rPr>
                <w:rFonts w:cs="Arial"/>
                <w:b/>
                <w:bCs/>
                <w:sz w:val="20"/>
                <w:szCs w:val="20"/>
                <w:lang w:val="en-NZ" w:eastAsia="en-NZ"/>
              </w:rPr>
              <w:t>Tangihaere</w:t>
            </w:r>
            <w:proofErr w:type="spellEnd"/>
            <w:r w:rsidRPr="007D230E">
              <w:rPr>
                <w:rFonts w:cs="Arial"/>
                <w:b/>
                <w:bCs/>
                <w:sz w:val="20"/>
                <w:szCs w:val="20"/>
                <w:lang w:val="en-NZ" w:eastAsia="en-NZ"/>
              </w:rPr>
              <w:t xml:space="preserve"> MacFarlane</w:t>
            </w:r>
          </w:p>
        </w:tc>
      </w:tr>
      <w:tr w:rsidR="0048051B" w:rsidRPr="007D230E" w:rsidTr="008B57D2">
        <w:tblPrEx>
          <w:tblCellSpacing w:w="0" w:type="nil"/>
          <w:tblCellMar>
            <w:left w:w="108" w:type="dxa"/>
            <w:right w:w="108" w:type="dxa"/>
          </w:tblCellMar>
          <w:tblLook w:val="00A0" w:firstRow="1" w:lastRow="0" w:firstColumn="1" w:lastColumn="0" w:noHBand="0" w:noVBand="0"/>
        </w:tblPrEx>
        <w:trPr>
          <w:gridAfter w:val="1"/>
          <w:trHeight w:val="274"/>
        </w:trPr>
        <w:tc>
          <w:tcPr>
            <w:tcW w:w="3040" w:type="dxa"/>
            <w:gridSpan w:val="2"/>
          </w:tcPr>
          <w:p w:rsidR="0048051B" w:rsidRPr="007D230E" w:rsidRDefault="0048051B" w:rsidP="008B57D2">
            <w:pPr>
              <w:ind w:left="142"/>
              <w:rPr>
                <w:rFonts w:cs="Arial"/>
                <w:sz w:val="20"/>
                <w:szCs w:val="20"/>
                <w:lang w:val="en-NZ" w:eastAsia="en-NZ"/>
              </w:rPr>
            </w:pPr>
            <w:r w:rsidRPr="007D230E">
              <w:rPr>
                <w:rFonts w:cs="Arial"/>
                <w:sz w:val="20"/>
                <w:szCs w:val="20"/>
                <w:lang w:val="en-NZ" w:eastAsia="en-NZ"/>
              </w:rPr>
              <w:t>Membership category:</w:t>
            </w:r>
          </w:p>
        </w:tc>
        <w:tc>
          <w:tcPr>
            <w:tcW w:w="5540" w:type="dxa"/>
          </w:tcPr>
          <w:p w:rsidR="0048051B" w:rsidRPr="007D230E" w:rsidRDefault="0048051B" w:rsidP="008B57D2">
            <w:pPr>
              <w:ind w:left="34"/>
              <w:rPr>
                <w:rFonts w:cs="Arial"/>
                <w:sz w:val="20"/>
                <w:szCs w:val="20"/>
                <w:lang w:val="en-NZ" w:eastAsia="en-NZ"/>
              </w:rPr>
            </w:pPr>
            <w:r w:rsidRPr="007D230E">
              <w:rPr>
                <w:rFonts w:cs="Arial"/>
                <w:sz w:val="20"/>
                <w:szCs w:val="20"/>
                <w:lang w:val="en-NZ" w:eastAsia="en-NZ"/>
              </w:rPr>
              <w:t>Lay member/ Māori</w:t>
            </w:r>
          </w:p>
        </w:tc>
      </w:tr>
      <w:tr w:rsidR="0048051B" w:rsidRPr="007D230E" w:rsidTr="008B57D2">
        <w:tblPrEx>
          <w:tblCellSpacing w:w="0" w:type="nil"/>
          <w:tblCellMar>
            <w:left w:w="108" w:type="dxa"/>
            <w:right w:w="108" w:type="dxa"/>
          </w:tblCellMar>
          <w:tblLook w:val="00A0" w:firstRow="1" w:lastRow="0" w:firstColumn="1" w:lastColumn="0" w:noHBand="0" w:noVBand="0"/>
        </w:tblPrEx>
        <w:trPr>
          <w:gridAfter w:val="1"/>
          <w:trHeight w:val="319"/>
        </w:trPr>
        <w:tc>
          <w:tcPr>
            <w:tcW w:w="3040" w:type="dxa"/>
            <w:gridSpan w:val="2"/>
          </w:tcPr>
          <w:p w:rsidR="0048051B" w:rsidRPr="007D230E" w:rsidRDefault="0048051B" w:rsidP="008B57D2">
            <w:pPr>
              <w:ind w:left="142"/>
              <w:rPr>
                <w:rFonts w:cs="Arial"/>
                <w:sz w:val="20"/>
                <w:szCs w:val="20"/>
                <w:lang w:val="en-NZ" w:eastAsia="en-NZ"/>
              </w:rPr>
            </w:pPr>
            <w:r w:rsidRPr="007D230E">
              <w:rPr>
                <w:rFonts w:cs="Arial"/>
                <w:sz w:val="20"/>
                <w:szCs w:val="20"/>
                <w:lang w:val="en-NZ" w:eastAsia="en-NZ"/>
              </w:rPr>
              <w:t>Date of appointment:</w:t>
            </w:r>
          </w:p>
        </w:tc>
        <w:tc>
          <w:tcPr>
            <w:tcW w:w="5540" w:type="dxa"/>
          </w:tcPr>
          <w:p w:rsidR="0048051B" w:rsidRPr="007D230E" w:rsidRDefault="0048051B" w:rsidP="008B57D2">
            <w:pPr>
              <w:ind w:left="34"/>
              <w:rPr>
                <w:rFonts w:cs="Arial"/>
                <w:sz w:val="20"/>
                <w:szCs w:val="20"/>
                <w:lang w:val="en-NZ" w:eastAsia="en-NZ"/>
              </w:rPr>
            </w:pPr>
            <w:r w:rsidRPr="007D230E">
              <w:rPr>
                <w:rFonts w:cs="Arial"/>
                <w:sz w:val="20"/>
                <w:szCs w:val="20"/>
                <w:lang w:val="en-NZ" w:eastAsia="en-NZ"/>
              </w:rPr>
              <w:t>19 May 2014</w:t>
            </w:r>
          </w:p>
        </w:tc>
      </w:tr>
      <w:tr w:rsidR="0048051B" w:rsidRPr="007D230E" w:rsidTr="008B57D2">
        <w:tblPrEx>
          <w:tblCellSpacing w:w="0" w:type="nil"/>
          <w:tblCellMar>
            <w:left w:w="108" w:type="dxa"/>
            <w:right w:w="108" w:type="dxa"/>
          </w:tblCellMar>
          <w:tblLook w:val="00A0" w:firstRow="1" w:lastRow="0" w:firstColumn="1" w:lastColumn="0" w:noHBand="0" w:noVBand="0"/>
        </w:tblPrEx>
        <w:trPr>
          <w:gridAfter w:val="1"/>
        </w:trPr>
        <w:tc>
          <w:tcPr>
            <w:tcW w:w="3040" w:type="dxa"/>
            <w:gridSpan w:val="2"/>
          </w:tcPr>
          <w:p w:rsidR="0048051B" w:rsidRPr="007D230E" w:rsidRDefault="0048051B" w:rsidP="008B57D2">
            <w:pPr>
              <w:ind w:left="142"/>
              <w:rPr>
                <w:rFonts w:cs="Arial"/>
                <w:sz w:val="20"/>
                <w:szCs w:val="20"/>
                <w:lang w:val="en-NZ" w:eastAsia="en-NZ"/>
              </w:rPr>
            </w:pPr>
            <w:r w:rsidRPr="007D230E">
              <w:rPr>
                <w:rFonts w:cs="Arial"/>
                <w:sz w:val="20"/>
                <w:szCs w:val="20"/>
                <w:lang w:val="en-NZ" w:eastAsia="en-NZ"/>
              </w:rPr>
              <w:t>Current term expires:</w:t>
            </w:r>
          </w:p>
        </w:tc>
        <w:tc>
          <w:tcPr>
            <w:tcW w:w="5540" w:type="dxa"/>
          </w:tcPr>
          <w:p w:rsidR="0048051B" w:rsidRPr="007D230E" w:rsidRDefault="0048051B" w:rsidP="008B57D2">
            <w:pPr>
              <w:ind w:left="34"/>
              <w:rPr>
                <w:rFonts w:cs="Arial"/>
                <w:sz w:val="20"/>
                <w:szCs w:val="20"/>
                <w:lang w:val="en-NZ" w:eastAsia="en-NZ"/>
              </w:rPr>
            </w:pPr>
            <w:r w:rsidRPr="007D230E">
              <w:rPr>
                <w:rFonts w:cs="Arial"/>
                <w:sz w:val="20"/>
                <w:szCs w:val="20"/>
                <w:lang w:val="en-NZ" w:eastAsia="en-NZ"/>
              </w:rPr>
              <w:t>19 May 2017</w:t>
            </w:r>
          </w:p>
        </w:tc>
      </w:tr>
    </w:tbl>
    <w:p w:rsidR="00A71F41" w:rsidRPr="007D230E" w:rsidRDefault="00A71F41" w:rsidP="00445A67">
      <w:pPr>
        <w:tabs>
          <w:tab w:val="num" w:pos="851"/>
        </w:tabs>
        <w:rPr>
          <w:rFonts w:cs="Arial"/>
          <w:sz w:val="16"/>
          <w:szCs w:val="16"/>
          <w:lang w:val="en-NZ" w:eastAsia="en-NZ"/>
        </w:rPr>
      </w:pPr>
    </w:p>
    <w:p w:rsidR="00445A67" w:rsidRPr="007D230E" w:rsidRDefault="0048051B" w:rsidP="008B57D2">
      <w:pPr>
        <w:tabs>
          <w:tab w:val="num" w:pos="851"/>
        </w:tabs>
        <w:rPr>
          <w:rFonts w:cs="Arial"/>
          <w:sz w:val="16"/>
          <w:szCs w:val="16"/>
          <w:lang w:val="en-NZ" w:eastAsia="en-NZ"/>
        </w:rPr>
      </w:pPr>
      <w:r w:rsidRPr="007D230E">
        <w:rPr>
          <w:rFonts w:cs="Arial"/>
          <w:sz w:val="16"/>
          <w:szCs w:val="16"/>
          <w:lang w:val="en-NZ" w:eastAsia="en-NZ"/>
        </w:rPr>
        <w:t>Miss Macfarlane (</w:t>
      </w:r>
      <w:proofErr w:type="spellStart"/>
      <w:r w:rsidRPr="007D230E">
        <w:rPr>
          <w:rFonts w:cs="Arial"/>
          <w:sz w:val="16"/>
          <w:szCs w:val="16"/>
          <w:lang w:val="en-NZ" w:eastAsia="en-NZ"/>
        </w:rPr>
        <w:t>Te</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Arawa</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Ngāti</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Whakaue</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Ngāti</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Pikiao</w:t>
      </w:r>
      <w:proofErr w:type="spellEnd"/>
      <w:r w:rsidRPr="007D230E">
        <w:rPr>
          <w:rFonts w:cs="Arial"/>
          <w:sz w:val="16"/>
          <w:szCs w:val="16"/>
          <w:lang w:val="en-NZ" w:eastAsia="en-NZ"/>
        </w:rPr>
        <w:t xml:space="preserve">, </w:t>
      </w:r>
      <w:proofErr w:type="spellStart"/>
      <w:proofErr w:type="gramStart"/>
      <w:r w:rsidRPr="007D230E">
        <w:rPr>
          <w:rFonts w:cs="Arial"/>
          <w:sz w:val="16"/>
          <w:szCs w:val="16"/>
          <w:lang w:val="en-NZ" w:eastAsia="en-NZ"/>
        </w:rPr>
        <w:t>Ngāti</w:t>
      </w:r>
      <w:proofErr w:type="spellEnd"/>
      <w:proofErr w:type="gramEnd"/>
      <w:r w:rsidRPr="007D230E">
        <w:rPr>
          <w:rFonts w:cs="Arial"/>
          <w:sz w:val="16"/>
          <w:szCs w:val="16"/>
          <w:lang w:val="en-NZ" w:eastAsia="en-NZ"/>
        </w:rPr>
        <w:t xml:space="preserve"> </w:t>
      </w:r>
      <w:proofErr w:type="spellStart"/>
      <w:r w:rsidRPr="007D230E">
        <w:rPr>
          <w:rFonts w:cs="Arial"/>
          <w:sz w:val="16"/>
          <w:szCs w:val="16"/>
          <w:lang w:val="en-NZ" w:eastAsia="en-NZ"/>
        </w:rPr>
        <w:t>Rangiwewehi</w:t>
      </w:r>
      <w:proofErr w:type="spellEnd"/>
      <w:r w:rsidRPr="007D230E">
        <w:rPr>
          <w:rFonts w:cs="Arial"/>
          <w:sz w:val="16"/>
          <w:szCs w:val="16"/>
          <w:lang w:val="en-NZ" w:eastAsia="en-NZ"/>
        </w:rPr>
        <w:t xml:space="preserve">) is Quality and Risk Manager, Complaints Officer and Privacy Officer at </w:t>
      </w:r>
      <w:proofErr w:type="spellStart"/>
      <w:r w:rsidRPr="007D230E">
        <w:rPr>
          <w:rFonts w:cs="Arial"/>
          <w:sz w:val="16"/>
          <w:szCs w:val="16"/>
          <w:lang w:val="en-NZ" w:eastAsia="en-NZ"/>
        </w:rPr>
        <w:t>Te</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Roopu</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Taurima</w:t>
      </w:r>
      <w:proofErr w:type="spellEnd"/>
      <w:r w:rsidRPr="007D230E">
        <w:rPr>
          <w:rFonts w:cs="Arial"/>
          <w:sz w:val="16"/>
          <w:szCs w:val="16"/>
          <w:lang w:val="en-NZ" w:eastAsia="en-NZ"/>
        </w:rPr>
        <w:t xml:space="preserve"> O </w:t>
      </w:r>
      <w:proofErr w:type="spellStart"/>
      <w:r w:rsidRPr="007D230E">
        <w:rPr>
          <w:rFonts w:cs="Arial"/>
          <w:sz w:val="16"/>
          <w:szCs w:val="16"/>
          <w:lang w:val="en-NZ" w:eastAsia="en-NZ"/>
        </w:rPr>
        <w:t>Manukau</w:t>
      </w:r>
      <w:proofErr w:type="spellEnd"/>
      <w:r w:rsidRPr="007D230E">
        <w:rPr>
          <w:rFonts w:cs="Arial"/>
          <w:sz w:val="16"/>
          <w:szCs w:val="16"/>
          <w:lang w:val="en-NZ" w:eastAsia="en-NZ"/>
        </w:rPr>
        <w:t xml:space="preserve"> Trust (2011 – present)</w:t>
      </w:r>
      <w:r w:rsidR="00FC6A82">
        <w:rPr>
          <w:rFonts w:cs="Arial"/>
          <w:sz w:val="16"/>
          <w:szCs w:val="16"/>
          <w:lang w:val="en-NZ" w:eastAsia="en-NZ"/>
        </w:rPr>
        <w:t xml:space="preserve">. </w:t>
      </w:r>
      <w:r w:rsidRPr="007D230E">
        <w:rPr>
          <w:rFonts w:cs="Arial"/>
          <w:sz w:val="16"/>
          <w:szCs w:val="16"/>
          <w:lang w:val="en-NZ" w:eastAsia="en-NZ"/>
        </w:rPr>
        <w:t xml:space="preserve">She has previously held positions on the Lakes District Health Board Community &amp; Public Health Advisory Committee (2001 – 2007), </w:t>
      </w:r>
      <w:proofErr w:type="spellStart"/>
      <w:r w:rsidRPr="007D230E">
        <w:rPr>
          <w:rFonts w:cs="Arial"/>
          <w:sz w:val="16"/>
          <w:szCs w:val="16"/>
          <w:lang w:val="en-NZ" w:eastAsia="en-NZ"/>
        </w:rPr>
        <w:t>Te</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Kotahitanga</w:t>
      </w:r>
      <w:proofErr w:type="spellEnd"/>
      <w:r w:rsidRPr="007D230E">
        <w:rPr>
          <w:rFonts w:cs="Arial"/>
          <w:sz w:val="16"/>
          <w:szCs w:val="16"/>
          <w:lang w:val="en-NZ" w:eastAsia="en-NZ"/>
        </w:rPr>
        <w:t xml:space="preserve"> o </w:t>
      </w:r>
      <w:proofErr w:type="spellStart"/>
      <w:r w:rsidRPr="007D230E">
        <w:rPr>
          <w:rFonts w:cs="Arial"/>
          <w:sz w:val="16"/>
          <w:szCs w:val="16"/>
          <w:lang w:val="en-NZ" w:eastAsia="en-NZ"/>
        </w:rPr>
        <w:t>Te</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Arawa</w:t>
      </w:r>
      <w:proofErr w:type="spellEnd"/>
      <w:r w:rsidRPr="007D230E">
        <w:rPr>
          <w:rFonts w:cs="Arial"/>
          <w:sz w:val="16"/>
          <w:szCs w:val="16"/>
          <w:lang w:val="en-NZ" w:eastAsia="en-NZ"/>
        </w:rPr>
        <w:t xml:space="preserve"> Fisheries Trust (2004 – 2013), and </w:t>
      </w:r>
      <w:proofErr w:type="spellStart"/>
      <w:r w:rsidRPr="007D230E">
        <w:rPr>
          <w:rFonts w:cs="Arial"/>
          <w:sz w:val="16"/>
          <w:szCs w:val="16"/>
          <w:lang w:val="en-NZ" w:eastAsia="en-NZ"/>
        </w:rPr>
        <w:t>Te</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Roopu</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Hauora</w:t>
      </w:r>
      <w:proofErr w:type="spellEnd"/>
      <w:r w:rsidRPr="007D230E">
        <w:rPr>
          <w:rFonts w:cs="Arial"/>
          <w:sz w:val="16"/>
          <w:szCs w:val="16"/>
          <w:lang w:val="en-NZ" w:eastAsia="en-NZ"/>
        </w:rPr>
        <w:t xml:space="preserve"> o </w:t>
      </w:r>
      <w:proofErr w:type="spellStart"/>
      <w:r w:rsidRPr="007D230E">
        <w:rPr>
          <w:rFonts w:cs="Arial"/>
          <w:sz w:val="16"/>
          <w:szCs w:val="16"/>
          <w:lang w:val="en-NZ" w:eastAsia="en-NZ"/>
        </w:rPr>
        <w:t>Te</w:t>
      </w:r>
      <w:proofErr w:type="spellEnd"/>
      <w:r w:rsidRPr="007D230E">
        <w:rPr>
          <w:rFonts w:cs="Arial"/>
          <w:sz w:val="16"/>
          <w:szCs w:val="16"/>
          <w:lang w:val="en-NZ" w:eastAsia="en-NZ"/>
        </w:rPr>
        <w:t xml:space="preserve"> </w:t>
      </w:r>
      <w:proofErr w:type="spellStart"/>
      <w:r w:rsidRPr="007D230E">
        <w:rPr>
          <w:rFonts w:cs="Arial"/>
          <w:sz w:val="16"/>
          <w:szCs w:val="16"/>
          <w:lang w:val="en-NZ" w:eastAsia="en-NZ"/>
        </w:rPr>
        <w:t>Arawa</w:t>
      </w:r>
      <w:proofErr w:type="spellEnd"/>
      <w:r w:rsidRPr="007D230E">
        <w:rPr>
          <w:rFonts w:cs="Arial"/>
          <w:sz w:val="16"/>
          <w:szCs w:val="16"/>
          <w:lang w:val="en-NZ" w:eastAsia="en-NZ"/>
        </w:rPr>
        <w:t xml:space="preserve"> Trust (2001 – 2007)</w:t>
      </w:r>
      <w:r w:rsidR="00FC6A82">
        <w:rPr>
          <w:rFonts w:cs="Arial"/>
          <w:sz w:val="16"/>
          <w:szCs w:val="16"/>
          <w:lang w:val="en-NZ" w:eastAsia="en-NZ"/>
        </w:rPr>
        <w:t xml:space="preserve">. </w:t>
      </w:r>
      <w:r w:rsidRPr="007D230E">
        <w:rPr>
          <w:rFonts w:cs="Arial"/>
          <w:sz w:val="16"/>
          <w:szCs w:val="16"/>
          <w:lang w:val="en-NZ" w:eastAsia="en-NZ"/>
        </w:rPr>
        <w:t>Miss Macfarlane has completed a Bachelor of Health Science (2007) and a Diploma in Māori Business (2004), among other studies.</w:t>
      </w:r>
    </w:p>
    <w:p w:rsidR="00445A67" w:rsidRPr="007D230E" w:rsidRDefault="00445A67">
      <w:pPr>
        <w:spacing w:after="200" w:line="276" w:lineRule="auto"/>
        <w:rPr>
          <w:rFonts w:cs="Arial"/>
          <w:sz w:val="16"/>
          <w:szCs w:val="16"/>
          <w:lang w:val="en-NZ" w:eastAsia="en-NZ"/>
        </w:rPr>
      </w:pPr>
      <w:r w:rsidRPr="007D230E">
        <w:rPr>
          <w:rFonts w:cs="Arial"/>
          <w:sz w:val="16"/>
          <w:szCs w:val="16"/>
          <w:lang w:val="en-NZ" w:eastAsia="en-NZ"/>
        </w:rPr>
        <w:br w:type="page"/>
      </w:r>
    </w:p>
    <w:tbl>
      <w:tblPr>
        <w:tblW w:w="8700" w:type="dxa"/>
        <w:tblCellSpacing w:w="15" w:type="dxa"/>
        <w:tblInd w:w="-63" w:type="dxa"/>
        <w:tblCellMar>
          <w:left w:w="0" w:type="dxa"/>
          <w:right w:w="0" w:type="dxa"/>
        </w:tblCellMar>
        <w:tblLook w:val="04A0" w:firstRow="1" w:lastRow="0" w:firstColumn="1" w:lastColumn="0" w:noHBand="0" w:noVBand="1"/>
      </w:tblPr>
      <w:tblGrid>
        <w:gridCol w:w="63"/>
        <w:gridCol w:w="2880"/>
        <w:gridCol w:w="5712"/>
        <w:gridCol w:w="45"/>
      </w:tblGrid>
      <w:tr w:rsidR="000F44F2" w:rsidRPr="007D230E" w:rsidTr="007E12D8">
        <w:trPr>
          <w:gridBefore w:val="1"/>
          <w:wBefore w:w="18" w:type="dxa"/>
          <w:trHeight w:val="225"/>
          <w:tblCellSpacing w:w="15" w:type="dxa"/>
        </w:trPr>
        <w:tc>
          <w:tcPr>
            <w:tcW w:w="0" w:type="auto"/>
            <w:gridSpan w:val="3"/>
            <w:tcMar>
              <w:top w:w="15" w:type="dxa"/>
              <w:left w:w="15" w:type="dxa"/>
              <w:bottom w:w="15" w:type="dxa"/>
              <w:right w:w="15" w:type="dxa"/>
            </w:tcMar>
            <w:hideMark/>
          </w:tcPr>
          <w:p w:rsidR="000F44F2" w:rsidRPr="007D230E" w:rsidRDefault="000F44F2" w:rsidP="008B57D2">
            <w:pPr>
              <w:ind w:left="142"/>
              <w:rPr>
                <w:rFonts w:cs="Arial"/>
                <w:sz w:val="24"/>
                <w:lang w:val="en-NZ" w:eastAsia="en-NZ"/>
              </w:rPr>
            </w:pPr>
            <w:r w:rsidRPr="007D230E">
              <w:rPr>
                <w:rFonts w:cs="Arial"/>
                <w:b/>
                <w:bCs/>
                <w:sz w:val="20"/>
                <w:szCs w:val="20"/>
                <w:lang w:val="en-NZ" w:eastAsia="en-NZ"/>
              </w:rPr>
              <w:lastRenderedPageBreak/>
              <w:t>Mr John Hancock</w:t>
            </w:r>
          </w:p>
        </w:tc>
      </w:tr>
      <w:tr w:rsidR="000F44F2" w:rsidRPr="007D230E"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rsidR="000F44F2" w:rsidRPr="007D230E" w:rsidRDefault="000F44F2" w:rsidP="008B57D2">
            <w:pPr>
              <w:ind w:left="142"/>
              <w:rPr>
                <w:rFonts w:cs="Arial"/>
                <w:sz w:val="20"/>
                <w:szCs w:val="20"/>
                <w:lang w:val="en-NZ" w:eastAsia="en-NZ"/>
              </w:rPr>
            </w:pPr>
            <w:r w:rsidRPr="007D230E">
              <w:rPr>
                <w:rFonts w:cs="Arial"/>
                <w:sz w:val="20"/>
                <w:szCs w:val="20"/>
                <w:lang w:val="en-NZ" w:eastAsia="en-NZ"/>
              </w:rPr>
              <w:t>Membership category:</w:t>
            </w:r>
          </w:p>
        </w:tc>
        <w:tc>
          <w:tcPr>
            <w:tcW w:w="5682" w:type="dxa"/>
          </w:tcPr>
          <w:p w:rsidR="000F44F2" w:rsidRPr="007D230E" w:rsidRDefault="000F44F2" w:rsidP="00445A67">
            <w:pPr>
              <w:rPr>
                <w:rFonts w:cs="Arial"/>
                <w:sz w:val="20"/>
                <w:szCs w:val="20"/>
                <w:lang w:val="en-NZ" w:eastAsia="en-NZ"/>
              </w:rPr>
            </w:pPr>
            <w:r w:rsidRPr="007D230E">
              <w:rPr>
                <w:rFonts w:cs="Arial"/>
                <w:sz w:val="20"/>
                <w:szCs w:val="20"/>
                <w:lang w:val="en-NZ" w:eastAsia="en-NZ"/>
              </w:rPr>
              <w:t>The Law</w:t>
            </w:r>
          </w:p>
        </w:tc>
      </w:tr>
      <w:tr w:rsidR="000F44F2" w:rsidRPr="007D230E"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rsidR="000F44F2" w:rsidRPr="007D230E" w:rsidRDefault="000F44F2" w:rsidP="008B57D2">
            <w:pPr>
              <w:ind w:left="142"/>
              <w:rPr>
                <w:rFonts w:cs="Arial"/>
                <w:sz w:val="20"/>
                <w:szCs w:val="20"/>
                <w:lang w:val="en-NZ" w:eastAsia="en-NZ"/>
              </w:rPr>
            </w:pPr>
            <w:r w:rsidRPr="007D230E">
              <w:rPr>
                <w:rFonts w:cs="Arial"/>
                <w:sz w:val="20"/>
                <w:szCs w:val="20"/>
                <w:lang w:val="en-NZ" w:eastAsia="en-NZ"/>
              </w:rPr>
              <w:t>Date of appointment:</w:t>
            </w:r>
          </w:p>
        </w:tc>
        <w:tc>
          <w:tcPr>
            <w:tcW w:w="5682" w:type="dxa"/>
          </w:tcPr>
          <w:p w:rsidR="000F44F2" w:rsidRPr="007D230E" w:rsidRDefault="000F44F2" w:rsidP="00445A67">
            <w:pPr>
              <w:rPr>
                <w:rFonts w:cs="Arial"/>
                <w:sz w:val="20"/>
                <w:szCs w:val="20"/>
                <w:lang w:val="en-NZ" w:eastAsia="en-NZ"/>
              </w:rPr>
            </w:pPr>
            <w:r w:rsidRPr="007D230E">
              <w:rPr>
                <w:rFonts w:cs="Arial"/>
                <w:sz w:val="20"/>
                <w:szCs w:val="20"/>
                <w:lang w:val="en-NZ" w:eastAsia="en-NZ"/>
              </w:rPr>
              <w:t>14 Dec 2015</w:t>
            </w:r>
          </w:p>
        </w:tc>
      </w:tr>
      <w:tr w:rsidR="000F44F2" w:rsidRPr="007D230E" w:rsidTr="00445A67">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rsidR="000F44F2" w:rsidRPr="007D230E" w:rsidRDefault="000F44F2" w:rsidP="008B57D2">
            <w:pPr>
              <w:ind w:left="142"/>
              <w:rPr>
                <w:rFonts w:cs="Arial"/>
                <w:sz w:val="20"/>
                <w:szCs w:val="20"/>
                <w:lang w:val="en-NZ" w:eastAsia="en-NZ"/>
              </w:rPr>
            </w:pPr>
            <w:r w:rsidRPr="007D230E">
              <w:rPr>
                <w:rFonts w:cs="Arial"/>
                <w:sz w:val="20"/>
                <w:szCs w:val="20"/>
                <w:lang w:val="en-NZ" w:eastAsia="en-NZ"/>
              </w:rPr>
              <w:t>Current term expires:</w:t>
            </w:r>
          </w:p>
        </w:tc>
        <w:tc>
          <w:tcPr>
            <w:tcW w:w="5682" w:type="dxa"/>
          </w:tcPr>
          <w:p w:rsidR="000F44F2" w:rsidRPr="007D230E" w:rsidRDefault="000F44F2" w:rsidP="00445A67">
            <w:pPr>
              <w:rPr>
                <w:rFonts w:cs="Arial"/>
                <w:sz w:val="20"/>
                <w:szCs w:val="20"/>
                <w:lang w:val="en-NZ" w:eastAsia="en-NZ"/>
              </w:rPr>
            </w:pPr>
            <w:r w:rsidRPr="007D230E">
              <w:rPr>
                <w:rFonts w:cs="Arial"/>
                <w:sz w:val="20"/>
                <w:szCs w:val="20"/>
                <w:lang w:val="en-NZ" w:eastAsia="en-NZ"/>
              </w:rPr>
              <w:t>14 Dec 2018</w:t>
            </w:r>
          </w:p>
        </w:tc>
      </w:tr>
    </w:tbl>
    <w:p w:rsidR="00445A67" w:rsidRPr="007D230E" w:rsidRDefault="00445A67" w:rsidP="008B57D2">
      <w:pPr>
        <w:tabs>
          <w:tab w:val="num" w:pos="851"/>
        </w:tabs>
        <w:ind w:left="142"/>
        <w:rPr>
          <w:rFonts w:cs="Arial"/>
          <w:sz w:val="16"/>
          <w:szCs w:val="16"/>
          <w:lang w:val="en-NZ"/>
        </w:rPr>
      </w:pPr>
    </w:p>
    <w:p w:rsidR="00445A67" w:rsidRPr="007D230E" w:rsidRDefault="00A71F41" w:rsidP="00445A67">
      <w:pPr>
        <w:tabs>
          <w:tab w:val="num" w:pos="851"/>
        </w:tabs>
        <w:rPr>
          <w:rFonts w:cs="Arial"/>
          <w:sz w:val="16"/>
          <w:szCs w:val="16"/>
          <w:lang w:val="en-NZ"/>
        </w:rPr>
      </w:pPr>
      <w:r w:rsidRPr="007D230E">
        <w:rPr>
          <w:rFonts w:cs="Arial"/>
          <w:sz w:val="16"/>
          <w:szCs w:val="16"/>
          <w:lang w:val="en-NZ"/>
        </w:rPr>
        <w:t xml:space="preserve">John Hancock is an Auckland lawyer who specialises in child, youth and human rights related law and public policy. He was formally Principal Solicitor at </w:t>
      </w:r>
      <w:proofErr w:type="spellStart"/>
      <w:r w:rsidRPr="007D230E">
        <w:rPr>
          <w:rFonts w:cs="Arial"/>
          <w:sz w:val="16"/>
          <w:szCs w:val="16"/>
          <w:lang w:val="en-NZ"/>
        </w:rPr>
        <w:t>YouthLaw</w:t>
      </w:r>
      <w:proofErr w:type="spellEnd"/>
      <w:r w:rsidRPr="007D230E">
        <w:rPr>
          <w:rFonts w:cs="Arial"/>
          <w:sz w:val="16"/>
          <w:szCs w:val="16"/>
          <w:lang w:val="en-NZ"/>
        </w:rPr>
        <w:t xml:space="preserve"> in Auckland, Principal Advisor (Legal) at the Office of the Children's Commissioner and a Youth Advocate practising in the Auckland Youth Court. He is currently Senior Legal Adviser at the Human Rights Commission. He also has held advocacy, governance and leadership roles in non-government and community-based organisations and statutory committees.</w:t>
      </w:r>
    </w:p>
    <w:p w:rsidR="00445A67" w:rsidRPr="007D230E" w:rsidRDefault="00445A67" w:rsidP="00445A67">
      <w:pPr>
        <w:tabs>
          <w:tab w:val="num" w:pos="851"/>
        </w:tabs>
        <w:rPr>
          <w:rFonts w:cs="Arial"/>
          <w:sz w:val="16"/>
          <w:szCs w:val="16"/>
          <w:lang w:val="en-NZ"/>
        </w:rPr>
      </w:pPr>
    </w:p>
    <w:p w:rsidR="0040216C" w:rsidRPr="007D230E" w:rsidRDefault="0040216C" w:rsidP="002756F3">
      <w:pPr>
        <w:pStyle w:val="Heading3"/>
      </w:pPr>
      <w:r w:rsidRPr="007D230E">
        <w:t>Non-</w:t>
      </w:r>
      <w:r w:rsidR="00693DA8">
        <w:t>l</w:t>
      </w:r>
      <w:r w:rsidRPr="007D230E">
        <w:t>ay members</w:t>
      </w:r>
    </w:p>
    <w:tbl>
      <w:tblPr>
        <w:tblW w:w="8700" w:type="dxa"/>
        <w:tblCellSpacing w:w="15" w:type="dxa"/>
        <w:tblCellMar>
          <w:left w:w="0" w:type="dxa"/>
          <w:right w:w="0" w:type="dxa"/>
        </w:tblCellMar>
        <w:tblLook w:val="04A0" w:firstRow="1" w:lastRow="0" w:firstColumn="1" w:lastColumn="0" w:noHBand="0" w:noVBand="1"/>
      </w:tblPr>
      <w:tblGrid>
        <w:gridCol w:w="63"/>
        <w:gridCol w:w="2817"/>
        <w:gridCol w:w="5775"/>
        <w:gridCol w:w="45"/>
      </w:tblGrid>
      <w:tr w:rsidR="00445A67" w:rsidRPr="007D230E" w:rsidTr="007556BC">
        <w:trPr>
          <w:gridBefore w:val="1"/>
          <w:wBefore w:w="18" w:type="dxa"/>
          <w:trHeight w:val="225"/>
          <w:tblCellSpacing w:w="15" w:type="dxa"/>
        </w:trPr>
        <w:tc>
          <w:tcPr>
            <w:tcW w:w="0" w:type="auto"/>
            <w:gridSpan w:val="3"/>
            <w:tcMar>
              <w:top w:w="15" w:type="dxa"/>
              <w:left w:w="15" w:type="dxa"/>
              <w:bottom w:w="15" w:type="dxa"/>
              <w:right w:w="15" w:type="dxa"/>
            </w:tcMar>
            <w:hideMark/>
          </w:tcPr>
          <w:p w:rsidR="00445A67" w:rsidRPr="007D230E" w:rsidRDefault="00445A67" w:rsidP="008B57D2">
            <w:pPr>
              <w:ind w:left="79"/>
              <w:rPr>
                <w:rFonts w:cs="Arial"/>
                <w:sz w:val="24"/>
                <w:lang w:val="en-NZ" w:eastAsia="en-NZ"/>
              </w:rPr>
            </w:pPr>
            <w:r w:rsidRPr="007D230E">
              <w:rPr>
                <w:rFonts w:cs="Arial"/>
                <w:b/>
                <w:bCs/>
                <w:sz w:val="20"/>
                <w:szCs w:val="20"/>
                <w:lang w:val="en-NZ" w:eastAsia="en-NZ"/>
              </w:rPr>
              <w:t>Mrs Stephanie Pollard</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35" w:type="dxa"/>
            <w:gridSpan w:val="2"/>
          </w:tcPr>
          <w:p w:rsidR="00445A67" w:rsidRPr="007D230E" w:rsidRDefault="00445A67" w:rsidP="008B57D2">
            <w:pPr>
              <w:ind w:left="79"/>
              <w:rPr>
                <w:rFonts w:cs="Arial"/>
                <w:sz w:val="20"/>
                <w:szCs w:val="20"/>
                <w:lang w:val="en-NZ" w:eastAsia="en-NZ"/>
              </w:rPr>
            </w:pPr>
            <w:r w:rsidRPr="007D230E">
              <w:rPr>
                <w:rFonts w:cs="Arial"/>
                <w:sz w:val="20"/>
                <w:szCs w:val="20"/>
                <w:lang w:val="en-NZ" w:eastAsia="en-NZ"/>
              </w:rPr>
              <w:t>Membership category:</w:t>
            </w:r>
          </w:p>
        </w:tc>
        <w:tc>
          <w:tcPr>
            <w:tcW w:w="5745" w:type="dxa"/>
          </w:tcPr>
          <w:p w:rsidR="00445A67" w:rsidRPr="007D230E" w:rsidRDefault="00693DA8" w:rsidP="00445A67">
            <w:pPr>
              <w:rPr>
                <w:rFonts w:cs="Arial"/>
                <w:sz w:val="20"/>
                <w:szCs w:val="20"/>
                <w:lang w:val="en-NZ" w:eastAsia="en-NZ"/>
              </w:rPr>
            </w:pPr>
            <w:r>
              <w:rPr>
                <w:rFonts w:cs="Arial"/>
                <w:sz w:val="20"/>
                <w:szCs w:val="20"/>
                <w:lang w:val="en-NZ" w:eastAsia="en-NZ"/>
              </w:rPr>
              <w:t>Health r</w:t>
            </w:r>
            <w:r w:rsidR="00445A67" w:rsidRPr="007D230E">
              <w:rPr>
                <w:rFonts w:cs="Arial"/>
                <w:sz w:val="20"/>
                <w:szCs w:val="20"/>
                <w:lang w:val="en-NZ" w:eastAsia="en-NZ"/>
              </w:rPr>
              <w:t>esearcher</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35" w:type="dxa"/>
            <w:gridSpan w:val="2"/>
          </w:tcPr>
          <w:p w:rsidR="00445A67" w:rsidRPr="007D230E" w:rsidRDefault="00445A67" w:rsidP="008B57D2">
            <w:pPr>
              <w:ind w:left="79"/>
              <w:rPr>
                <w:rFonts w:cs="Arial"/>
                <w:sz w:val="20"/>
                <w:szCs w:val="20"/>
                <w:lang w:val="en-NZ" w:eastAsia="en-NZ"/>
              </w:rPr>
            </w:pPr>
            <w:r w:rsidRPr="007D230E">
              <w:rPr>
                <w:rFonts w:cs="Arial"/>
                <w:sz w:val="20"/>
                <w:szCs w:val="20"/>
                <w:lang w:val="en-NZ" w:eastAsia="en-NZ"/>
              </w:rPr>
              <w:t>Date of appointment:</w:t>
            </w:r>
          </w:p>
        </w:tc>
        <w:tc>
          <w:tcPr>
            <w:tcW w:w="5745"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 xml:space="preserve">14 Dec 2015 </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Pr>
        <w:tc>
          <w:tcPr>
            <w:tcW w:w="2835" w:type="dxa"/>
            <w:gridSpan w:val="2"/>
          </w:tcPr>
          <w:p w:rsidR="00445A67" w:rsidRPr="007D230E" w:rsidRDefault="00445A67" w:rsidP="008B57D2">
            <w:pPr>
              <w:ind w:left="79"/>
              <w:rPr>
                <w:rFonts w:cs="Arial"/>
                <w:sz w:val="20"/>
                <w:szCs w:val="20"/>
                <w:lang w:val="en-NZ" w:eastAsia="en-NZ"/>
              </w:rPr>
            </w:pPr>
            <w:r w:rsidRPr="007D230E">
              <w:rPr>
                <w:rFonts w:cs="Arial"/>
                <w:sz w:val="20"/>
                <w:szCs w:val="20"/>
                <w:lang w:val="en-NZ" w:eastAsia="en-NZ"/>
              </w:rPr>
              <w:t>Current term expires:</w:t>
            </w:r>
          </w:p>
        </w:tc>
        <w:tc>
          <w:tcPr>
            <w:tcW w:w="5745"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 xml:space="preserve">14 Dec 2018 </w:t>
            </w:r>
          </w:p>
        </w:tc>
      </w:tr>
    </w:tbl>
    <w:p w:rsidR="00445A67" w:rsidRPr="007D230E" w:rsidRDefault="00445A67" w:rsidP="00445A67">
      <w:pPr>
        <w:rPr>
          <w:rFonts w:cs="Arial"/>
          <w:sz w:val="16"/>
          <w:szCs w:val="16"/>
        </w:rPr>
      </w:pPr>
      <w:r w:rsidRPr="007D230E">
        <w:rPr>
          <w:rFonts w:cs="Arial"/>
          <w:sz w:val="16"/>
          <w:szCs w:val="16"/>
          <w:lang w:val="en-NZ" w:eastAsia="en-NZ"/>
        </w:rPr>
        <w:br/>
        <w:t>Mrs Stephanie Pollard is currently employed as an independent Clinical Research Consultant. With a 20 year career in clinical trials</w:t>
      </w:r>
      <w:r w:rsidR="00693DA8">
        <w:rPr>
          <w:rFonts w:cs="Arial"/>
          <w:sz w:val="16"/>
          <w:szCs w:val="16"/>
          <w:lang w:val="en-NZ" w:eastAsia="en-NZ"/>
        </w:rPr>
        <w:t>,</w:t>
      </w:r>
      <w:r w:rsidRPr="007D230E">
        <w:rPr>
          <w:rFonts w:cs="Arial"/>
          <w:sz w:val="16"/>
          <w:szCs w:val="16"/>
          <w:lang w:val="en-NZ" w:eastAsia="en-NZ"/>
        </w:rPr>
        <w:t xml:space="preserve"> she specialises in oncology trials and previously held Research Manager </w:t>
      </w:r>
      <w:proofErr w:type="gramStart"/>
      <w:r w:rsidRPr="007D230E">
        <w:rPr>
          <w:rFonts w:cs="Arial"/>
          <w:sz w:val="16"/>
          <w:szCs w:val="16"/>
          <w:lang w:val="en-NZ" w:eastAsia="en-NZ"/>
        </w:rPr>
        <w:t>roles</w:t>
      </w:r>
      <w:proofErr w:type="gramEnd"/>
      <w:r w:rsidRPr="007D230E">
        <w:rPr>
          <w:rFonts w:cs="Arial"/>
          <w:sz w:val="16"/>
          <w:szCs w:val="16"/>
          <w:lang w:val="en-NZ" w:eastAsia="en-NZ"/>
        </w:rPr>
        <w:t xml:space="preserve"> at the University of Auckland (2007</w:t>
      </w:r>
      <w:r w:rsidR="00693DA8">
        <w:rPr>
          <w:rFonts w:cs="Arial"/>
          <w:sz w:val="16"/>
          <w:szCs w:val="16"/>
          <w:lang w:val="en-NZ" w:eastAsia="en-NZ"/>
        </w:rPr>
        <w:t>–</w:t>
      </w:r>
      <w:r w:rsidRPr="007D230E">
        <w:rPr>
          <w:rFonts w:cs="Arial"/>
          <w:sz w:val="16"/>
          <w:szCs w:val="16"/>
          <w:lang w:val="en-NZ" w:eastAsia="en-NZ"/>
        </w:rPr>
        <w:t>2011) and University of Leeds, UK (1996-2006). She obtained a Master’s degree in Healthcare Ethics and Law in 2005.</w:t>
      </w:r>
      <w:r w:rsidRPr="007D230E">
        <w:rPr>
          <w:rFonts w:cs="Arial"/>
          <w:sz w:val="16"/>
          <w:szCs w:val="16"/>
        </w:rPr>
        <w:t xml:space="preserve"> </w:t>
      </w:r>
      <w:r w:rsidRPr="007D230E">
        <w:rPr>
          <w:rFonts w:cs="Arial"/>
          <w:sz w:val="16"/>
          <w:szCs w:val="16"/>
        </w:rPr>
        <w:br/>
      </w:r>
    </w:p>
    <w:tbl>
      <w:tblPr>
        <w:tblW w:w="8925" w:type="dxa"/>
        <w:tblCellSpacing w:w="15" w:type="dxa"/>
        <w:tblInd w:w="-63" w:type="dxa"/>
        <w:tblCellMar>
          <w:left w:w="0" w:type="dxa"/>
          <w:right w:w="0" w:type="dxa"/>
        </w:tblCellMar>
        <w:tblLook w:val="04A0" w:firstRow="1" w:lastRow="0" w:firstColumn="1" w:lastColumn="0" w:noHBand="0" w:noVBand="1"/>
      </w:tblPr>
      <w:tblGrid>
        <w:gridCol w:w="80"/>
        <w:gridCol w:w="2863"/>
        <w:gridCol w:w="5937"/>
        <w:gridCol w:w="45"/>
      </w:tblGrid>
      <w:tr w:rsidR="00445A67" w:rsidRPr="007D230E" w:rsidTr="007556BC">
        <w:trPr>
          <w:gridBefore w:val="1"/>
          <w:wBefore w:w="35" w:type="dxa"/>
          <w:trHeight w:val="225"/>
          <w:tblCellSpacing w:w="15" w:type="dxa"/>
        </w:trPr>
        <w:tc>
          <w:tcPr>
            <w:tcW w:w="0" w:type="auto"/>
            <w:gridSpan w:val="3"/>
            <w:tcMar>
              <w:top w:w="15" w:type="dxa"/>
              <w:left w:w="15" w:type="dxa"/>
              <w:bottom w:w="15" w:type="dxa"/>
              <w:right w:w="15" w:type="dxa"/>
            </w:tcMar>
            <w:hideMark/>
          </w:tcPr>
          <w:p w:rsidR="00445A67" w:rsidRPr="007D230E" w:rsidRDefault="00445A67" w:rsidP="008B57D2">
            <w:pPr>
              <w:ind w:left="125"/>
              <w:rPr>
                <w:rFonts w:cs="Arial"/>
                <w:sz w:val="24"/>
                <w:lang w:val="en-NZ" w:eastAsia="en-NZ"/>
              </w:rPr>
            </w:pPr>
            <w:r w:rsidRPr="007D230E">
              <w:rPr>
                <w:rFonts w:cs="Arial"/>
                <w:b/>
                <w:bCs/>
                <w:sz w:val="20"/>
                <w:szCs w:val="20"/>
                <w:lang w:val="en-NZ" w:eastAsia="en-NZ"/>
              </w:rPr>
              <w:t xml:space="preserve">Mrs </w:t>
            </w:r>
            <w:proofErr w:type="spellStart"/>
            <w:r w:rsidRPr="007D230E">
              <w:rPr>
                <w:rFonts w:cs="Arial"/>
                <w:b/>
                <w:bCs/>
                <w:sz w:val="20"/>
                <w:szCs w:val="20"/>
                <w:lang w:val="en-NZ" w:eastAsia="en-NZ"/>
              </w:rPr>
              <w:t>Lessa</w:t>
            </w:r>
            <w:proofErr w:type="spellEnd"/>
            <w:r w:rsidRPr="007D230E">
              <w:rPr>
                <w:rFonts w:cs="Arial"/>
                <w:b/>
                <w:bCs/>
                <w:sz w:val="20"/>
                <w:szCs w:val="20"/>
                <w:lang w:val="en-NZ" w:eastAsia="en-NZ"/>
              </w:rPr>
              <w:t xml:space="preserve"> Russell</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Membership category:</w:t>
            </w:r>
          </w:p>
        </w:tc>
        <w:tc>
          <w:tcPr>
            <w:tcW w:w="5907" w:type="dxa"/>
          </w:tcPr>
          <w:p w:rsidR="00445A67" w:rsidRPr="007D230E" w:rsidRDefault="00693DA8" w:rsidP="00445A67">
            <w:pPr>
              <w:rPr>
                <w:rFonts w:cs="Arial"/>
                <w:sz w:val="20"/>
                <w:szCs w:val="20"/>
                <w:lang w:val="en-NZ" w:eastAsia="en-NZ"/>
              </w:rPr>
            </w:pPr>
            <w:r>
              <w:rPr>
                <w:rFonts w:cs="Arial"/>
                <w:sz w:val="20"/>
                <w:szCs w:val="20"/>
                <w:lang w:val="en-NZ" w:eastAsia="en-NZ"/>
              </w:rPr>
              <w:t>Intervention / Observation s</w:t>
            </w:r>
            <w:r w:rsidR="00445A67" w:rsidRPr="007D230E">
              <w:rPr>
                <w:rFonts w:cs="Arial"/>
                <w:sz w:val="20"/>
                <w:szCs w:val="20"/>
                <w:lang w:val="en-NZ" w:eastAsia="en-NZ"/>
              </w:rPr>
              <w:t xml:space="preserve">tudies </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Date of appointment:</w:t>
            </w:r>
          </w:p>
        </w:tc>
        <w:tc>
          <w:tcPr>
            <w:tcW w:w="5907"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14 Dec 2015</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Current term expires:</w:t>
            </w:r>
          </w:p>
        </w:tc>
        <w:tc>
          <w:tcPr>
            <w:tcW w:w="5907"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14 Dec 2018</w:t>
            </w:r>
          </w:p>
        </w:tc>
      </w:tr>
    </w:tbl>
    <w:p w:rsidR="00445A67" w:rsidRPr="007D230E" w:rsidRDefault="00445A67" w:rsidP="00445A67">
      <w:pPr>
        <w:spacing w:after="200"/>
        <w:rPr>
          <w:rFonts w:cs="Arial"/>
          <w:sz w:val="16"/>
          <w:szCs w:val="16"/>
          <w:lang w:val="en-NZ" w:eastAsia="en-NZ"/>
        </w:rPr>
      </w:pPr>
      <w:r w:rsidRPr="007D230E">
        <w:rPr>
          <w:rFonts w:cs="Arial"/>
          <w:sz w:val="16"/>
          <w:szCs w:val="16"/>
        </w:rPr>
        <w:br/>
      </w:r>
      <w:proofErr w:type="spellStart"/>
      <w:r w:rsidRPr="007D230E">
        <w:rPr>
          <w:rFonts w:cs="Arial"/>
          <w:sz w:val="16"/>
          <w:szCs w:val="16"/>
          <w:lang w:val="en-NZ" w:eastAsia="en-NZ"/>
        </w:rPr>
        <w:t>Leesa</w:t>
      </w:r>
      <w:proofErr w:type="spellEnd"/>
      <w:r w:rsidRPr="007D230E">
        <w:rPr>
          <w:rFonts w:cs="Arial"/>
          <w:sz w:val="16"/>
          <w:szCs w:val="16"/>
          <w:lang w:val="en-NZ" w:eastAsia="en-NZ"/>
        </w:rPr>
        <w:t xml:space="preserve"> Russell is currently coordinator the </w:t>
      </w:r>
      <w:proofErr w:type="spellStart"/>
      <w:r w:rsidRPr="007D230E">
        <w:rPr>
          <w:rFonts w:cs="Arial"/>
          <w:sz w:val="16"/>
          <w:szCs w:val="16"/>
          <w:lang w:val="en-NZ" w:eastAsia="en-NZ"/>
        </w:rPr>
        <w:t>the</w:t>
      </w:r>
      <w:proofErr w:type="spellEnd"/>
      <w:r w:rsidRPr="007D230E">
        <w:rPr>
          <w:rFonts w:cs="Arial"/>
          <w:sz w:val="16"/>
          <w:szCs w:val="16"/>
          <w:lang w:val="en-NZ" w:eastAsia="en-NZ"/>
        </w:rPr>
        <w:t xml:space="preserve"> New Zealand Cardiac Network, the National Cardiac Surgical Clinical Network and the Cancer Treatments Advisory Group </w:t>
      </w:r>
      <w:proofErr w:type="spellStart"/>
      <w:r w:rsidRPr="007D230E">
        <w:rPr>
          <w:rFonts w:cs="Arial"/>
          <w:sz w:val="16"/>
          <w:szCs w:val="16"/>
          <w:lang w:val="en-NZ" w:eastAsia="en-NZ"/>
        </w:rPr>
        <w:t>Hematology</w:t>
      </w:r>
      <w:proofErr w:type="spellEnd"/>
      <w:r w:rsidRPr="007D230E">
        <w:rPr>
          <w:rFonts w:cs="Arial"/>
          <w:sz w:val="16"/>
          <w:szCs w:val="16"/>
          <w:lang w:val="en-NZ" w:eastAsia="en-NZ"/>
        </w:rPr>
        <w:t xml:space="preserve"> Oncology Working Group. She completed a BA (2002) and MA (2004) at University of Auckland, focusing on Sociology of Medicine and writing on the effect of policy changes on the personal and professional lives of General Practitioners in Auckland. Mrs Russell has been involved in clinical research as part of the Cardiovascular Research Laboratory at the University of Auckland and on behalf of Respiratory physicians at </w:t>
      </w:r>
      <w:proofErr w:type="spellStart"/>
      <w:r w:rsidRPr="007D230E">
        <w:rPr>
          <w:rFonts w:cs="Arial"/>
          <w:sz w:val="16"/>
          <w:szCs w:val="16"/>
          <w:lang w:val="en-NZ" w:eastAsia="en-NZ"/>
        </w:rPr>
        <w:t>Middlemore</w:t>
      </w:r>
      <w:proofErr w:type="spellEnd"/>
      <w:r w:rsidRPr="007D230E">
        <w:rPr>
          <w:rFonts w:cs="Arial"/>
          <w:sz w:val="16"/>
          <w:szCs w:val="16"/>
          <w:lang w:val="en-NZ" w:eastAsia="en-NZ"/>
        </w:rPr>
        <w:t xml:space="preserve"> Hospital. She has worked at the Health Research Council as Executive Secretary to the HRC Ethics Committee and Data Monitoring Committee and also in an evaluation capacity in quality improvement. In 2006</w:t>
      </w:r>
      <w:r w:rsidR="00693DA8">
        <w:rPr>
          <w:rFonts w:cs="Arial"/>
          <w:sz w:val="16"/>
          <w:szCs w:val="16"/>
          <w:lang w:val="en-NZ" w:eastAsia="en-NZ"/>
        </w:rPr>
        <w:t>,</w:t>
      </w:r>
      <w:r w:rsidRPr="007D230E">
        <w:rPr>
          <w:rFonts w:cs="Arial"/>
          <w:sz w:val="16"/>
          <w:szCs w:val="16"/>
          <w:lang w:val="en-NZ" w:eastAsia="en-NZ"/>
        </w:rPr>
        <w:t xml:space="preserve"> she received Research Fellowship for her work on the cognitive </w:t>
      </w:r>
      <w:proofErr w:type="spellStart"/>
      <w:r w:rsidRPr="007D230E">
        <w:rPr>
          <w:rFonts w:cs="Arial"/>
          <w:sz w:val="16"/>
          <w:szCs w:val="16"/>
          <w:lang w:val="en-NZ" w:eastAsia="en-NZ"/>
        </w:rPr>
        <w:t>affects</w:t>
      </w:r>
      <w:proofErr w:type="spellEnd"/>
      <w:r w:rsidRPr="007D230E">
        <w:rPr>
          <w:rFonts w:cs="Arial"/>
          <w:sz w:val="16"/>
          <w:szCs w:val="16"/>
          <w:lang w:val="en-NZ" w:eastAsia="en-NZ"/>
        </w:rPr>
        <w:t xml:space="preserve"> of elective surgery on older adults. On return from maternity leave in 2013, Mrs Russell managed a year</w:t>
      </w:r>
      <w:r w:rsidR="00693DA8">
        <w:rPr>
          <w:rFonts w:cs="Arial"/>
          <w:sz w:val="16"/>
          <w:szCs w:val="16"/>
          <w:lang w:val="en-NZ" w:eastAsia="en-NZ"/>
        </w:rPr>
        <w:t>-</w:t>
      </w:r>
      <w:r w:rsidRPr="007D230E">
        <w:rPr>
          <w:rFonts w:cs="Arial"/>
          <w:sz w:val="16"/>
          <w:szCs w:val="16"/>
          <w:lang w:val="en-NZ" w:eastAsia="en-NZ"/>
        </w:rPr>
        <w:t xml:space="preserve">long national implementation project in the fertility industry </w:t>
      </w:r>
      <w:r w:rsidR="00693DA8">
        <w:rPr>
          <w:rFonts w:cs="Arial"/>
          <w:sz w:val="16"/>
          <w:szCs w:val="16"/>
          <w:lang w:val="en-NZ" w:eastAsia="en-NZ"/>
        </w:rPr>
        <w:t>that</w:t>
      </w:r>
      <w:r w:rsidRPr="007D230E">
        <w:rPr>
          <w:rFonts w:cs="Arial"/>
          <w:sz w:val="16"/>
          <w:szCs w:val="16"/>
          <w:lang w:val="en-NZ" w:eastAsia="en-NZ"/>
        </w:rPr>
        <w:t xml:space="preserve"> was prompted by a change in legislation requiring the destruction of frozen reproductive material which was stored for 10 years or longer, and required contact with 2000 patients and obtained a manag</w:t>
      </w:r>
      <w:r w:rsidR="00693DA8">
        <w:rPr>
          <w:rFonts w:cs="Arial"/>
          <w:sz w:val="16"/>
          <w:szCs w:val="16"/>
          <w:lang w:val="en-NZ" w:eastAsia="en-NZ"/>
        </w:rPr>
        <w:t>e</w:t>
      </w:r>
      <w:r w:rsidRPr="007D230E">
        <w:rPr>
          <w:rFonts w:cs="Arial"/>
          <w:sz w:val="16"/>
          <w:szCs w:val="16"/>
          <w:lang w:val="en-NZ" w:eastAsia="en-NZ"/>
        </w:rPr>
        <w:t xml:space="preserve">ment position in quality and process improvement as a result. She went on to manage Clinical Audit at St John. She holds (lapsed) accreditation for </w:t>
      </w:r>
      <w:proofErr w:type="spellStart"/>
      <w:r w:rsidRPr="007D230E">
        <w:rPr>
          <w:rFonts w:cs="Arial"/>
          <w:sz w:val="16"/>
          <w:szCs w:val="16"/>
          <w:lang w:val="en-NZ" w:eastAsia="en-NZ"/>
        </w:rPr>
        <w:t>Spirometery</w:t>
      </w:r>
      <w:proofErr w:type="spellEnd"/>
      <w:r w:rsidRPr="007D230E">
        <w:rPr>
          <w:rFonts w:cs="Arial"/>
          <w:sz w:val="16"/>
          <w:szCs w:val="16"/>
          <w:lang w:val="en-NZ" w:eastAsia="en-NZ"/>
        </w:rPr>
        <w:t xml:space="preserve"> and Phlebotomy competencies and is a First Responder (</w:t>
      </w:r>
      <w:proofErr w:type="spellStart"/>
      <w:r w:rsidRPr="007D230E">
        <w:rPr>
          <w:rFonts w:cs="Arial"/>
          <w:sz w:val="16"/>
          <w:szCs w:val="16"/>
          <w:lang w:val="en-NZ" w:eastAsia="en-NZ"/>
        </w:rPr>
        <w:t>Waiuku</w:t>
      </w:r>
      <w:proofErr w:type="spellEnd"/>
      <w:r w:rsidRPr="007D230E">
        <w:rPr>
          <w:rFonts w:cs="Arial"/>
          <w:sz w:val="16"/>
          <w:szCs w:val="16"/>
          <w:lang w:val="en-NZ" w:eastAsia="en-NZ"/>
        </w:rPr>
        <w:t xml:space="preserve"> Station). She previously held a role in the NZACRES executive and membership of the Cardiac Society of New Zealand and is currently studying towards a Post Graduate Diploma in Quality Systems.</w:t>
      </w:r>
    </w:p>
    <w:tbl>
      <w:tblPr>
        <w:tblW w:w="8925" w:type="dxa"/>
        <w:tblCellSpacing w:w="15" w:type="dxa"/>
        <w:tblInd w:w="-63" w:type="dxa"/>
        <w:tblCellMar>
          <w:left w:w="0" w:type="dxa"/>
          <w:right w:w="0" w:type="dxa"/>
        </w:tblCellMar>
        <w:tblLook w:val="04A0" w:firstRow="1" w:lastRow="0" w:firstColumn="1" w:lastColumn="0" w:noHBand="0" w:noVBand="1"/>
      </w:tblPr>
      <w:tblGrid>
        <w:gridCol w:w="80"/>
        <w:gridCol w:w="2863"/>
        <w:gridCol w:w="5937"/>
        <w:gridCol w:w="45"/>
      </w:tblGrid>
      <w:tr w:rsidR="00445A67" w:rsidRPr="007D230E" w:rsidTr="007556BC">
        <w:trPr>
          <w:gridBefore w:val="1"/>
          <w:wBefore w:w="35" w:type="dxa"/>
          <w:trHeight w:val="225"/>
          <w:tblCellSpacing w:w="15" w:type="dxa"/>
        </w:trPr>
        <w:tc>
          <w:tcPr>
            <w:tcW w:w="0" w:type="auto"/>
            <w:gridSpan w:val="3"/>
            <w:tcMar>
              <w:top w:w="15" w:type="dxa"/>
              <w:left w:w="15" w:type="dxa"/>
              <w:bottom w:w="15" w:type="dxa"/>
              <w:right w:w="15" w:type="dxa"/>
            </w:tcMar>
            <w:hideMark/>
          </w:tcPr>
          <w:p w:rsidR="00445A67" w:rsidRPr="007D230E" w:rsidRDefault="00445A67" w:rsidP="008B57D2">
            <w:pPr>
              <w:ind w:left="125"/>
              <w:rPr>
                <w:rFonts w:cs="Arial"/>
                <w:sz w:val="24"/>
                <w:lang w:val="en-NZ" w:eastAsia="en-NZ"/>
              </w:rPr>
            </w:pPr>
            <w:r w:rsidRPr="007D230E">
              <w:rPr>
                <w:rFonts w:cs="Arial"/>
                <w:b/>
                <w:bCs/>
                <w:sz w:val="20"/>
                <w:szCs w:val="20"/>
                <w:lang w:val="en-NZ" w:eastAsia="en-NZ"/>
              </w:rPr>
              <w:t>Dr Nora Lynch</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Membership category:</w:t>
            </w:r>
          </w:p>
        </w:tc>
        <w:tc>
          <w:tcPr>
            <w:tcW w:w="5907" w:type="dxa"/>
          </w:tcPr>
          <w:p w:rsidR="00445A67" w:rsidRPr="007D230E" w:rsidRDefault="00445A67" w:rsidP="00693DA8">
            <w:pPr>
              <w:rPr>
                <w:rFonts w:cs="Arial"/>
                <w:sz w:val="20"/>
                <w:szCs w:val="20"/>
                <w:lang w:val="en-NZ" w:eastAsia="en-NZ"/>
              </w:rPr>
            </w:pPr>
            <w:r w:rsidRPr="007D230E">
              <w:rPr>
                <w:rFonts w:cs="Arial"/>
                <w:sz w:val="20"/>
                <w:szCs w:val="20"/>
                <w:lang w:val="en-NZ" w:eastAsia="en-NZ"/>
              </w:rPr>
              <w:t xml:space="preserve">Intervention </w:t>
            </w:r>
            <w:r w:rsidR="00693DA8">
              <w:rPr>
                <w:rFonts w:cs="Arial"/>
                <w:sz w:val="20"/>
                <w:szCs w:val="20"/>
                <w:lang w:val="en-NZ" w:eastAsia="en-NZ"/>
              </w:rPr>
              <w:t>s</w:t>
            </w:r>
            <w:r w:rsidRPr="007D230E">
              <w:rPr>
                <w:rFonts w:cs="Arial"/>
                <w:sz w:val="20"/>
                <w:szCs w:val="20"/>
                <w:lang w:val="en-NZ" w:eastAsia="en-NZ"/>
              </w:rPr>
              <w:t xml:space="preserve">tudies </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Date of appointment:</w:t>
            </w:r>
          </w:p>
        </w:tc>
        <w:tc>
          <w:tcPr>
            <w:tcW w:w="5907"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1 July 2015</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Current term expires:</w:t>
            </w:r>
          </w:p>
        </w:tc>
        <w:tc>
          <w:tcPr>
            <w:tcW w:w="5907"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1 July 2018</w:t>
            </w:r>
          </w:p>
        </w:tc>
      </w:tr>
    </w:tbl>
    <w:p w:rsidR="00B84D39" w:rsidRPr="007D230E" w:rsidRDefault="00445A67" w:rsidP="00445A67">
      <w:pPr>
        <w:pStyle w:val="Location"/>
        <w:spacing w:line="240" w:lineRule="auto"/>
        <w:ind w:left="0"/>
        <w:rPr>
          <w:rFonts w:ascii="Arial" w:eastAsia="Times New Roman" w:hAnsi="Arial" w:cs="Arial"/>
          <w:szCs w:val="16"/>
          <w:lang w:val="en-NZ" w:eastAsia="en-NZ"/>
        </w:rPr>
      </w:pPr>
      <w:bookmarkStart w:id="16" w:name="_Toc271030688"/>
      <w:r w:rsidRPr="007D230E">
        <w:rPr>
          <w:rFonts w:ascii="Arial" w:eastAsia="Times New Roman" w:hAnsi="Arial" w:cs="Arial"/>
          <w:szCs w:val="16"/>
          <w:lang w:val="en-NZ" w:eastAsia="en-NZ"/>
        </w:rPr>
        <w:br/>
      </w:r>
      <w:r w:rsidR="00B84D39" w:rsidRPr="007D230E">
        <w:rPr>
          <w:rFonts w:ascii="Arial" w:eastAsia="Times New Roman" w:hAnsi="Arial" w:cs="Arial"/>
          <w:szCs w:val="16"/>
          <w:lang w:val="en-NZ" w:eastAsia="en-NZ"/>
        </w:rPr>
        <w:t xml:space="preserve">Dr Nora Lynch </w:t>
      </w:r>
      <w:proofErr w:type="spellStart"/>
      <w:r w:rsidR="00B84D39" w:rsidRPr="007D230E">
        <w:rPr>
          <w:rFonts w:ascii="Arial" w:eastAsia="Times New Roman" w:hAnsi="Arial" w:cs="Arial"/>
          <w:szCs w:val="16"/>
          <w:lang w:val="en-NZ" w:eastAsia="en-NZ"/>
        </w:rPr>
        <w:t>MBChB</w:t>
      </w:r>
      <w:proofErr w:type="spellEnd"/>
      <w:r w:rsidR="00B84D39" w:rsidRPr="007D230E">
        <w:rPr>
          <w:rFonts w:ascii="Arial" w:eastAsia="Times New Roman" w:hAnsi="Arial" w:cs="Arial"/>
          <w:szCs w:val="16"/>
          <w:lang w:val="en-NZ" w:eastAsia="en-NZ"/>
        </w:rPr>
        <w:t xml:space="preserve"> (Auckland 1979) </w:t>
      </w:r>
      <w:proofErr w:type="spellStart"/>
      <w:r w:rsidR="00B84D39" w:rsidRPr="007D230E">
        <w:rPr>
          <w:rFonts w:ascii="Arial" w:eastAsia="Times New Roman" w:hAnsi="Arial" w:cs="Arial"/>
          <w:szCs w:val="16"/>
          <w:lang w:val="en-NZ" w:eastAsia="en-NZ"/>
        </w:rPr>
        <w:t>MMed</w:t>
      </w:r>
      <w:proofErr w:type="spellEnd"/>
      <w:r w:rsidR="00B84D39" w:rsidRPr="007D230E">
        <w:rPr>
          <w:rFonts w:ascii="Arial" w:eastAsia="Times New Roman" w:hAnsi="Arial" w:cs="Arial"/>
          <w:szCs w:val="16"/>
          <w:lang w:val="en-NZ" w:eastAsia="en-NZ"/>
        </w:rPr>
        <w:t xml:space="preserve"> (</w:t>
      </w:r>
      <w:proofErr w:type="spellStart"/>
      <w:r w:rsidR="00B84D39" w:rsidRPr="007D230E">
        <w:rPr>
          <w:rFonts w:ascii="Arial" w:eastAsia="Times New Roman" w:hAnsi="Arial" w:cs="Arial"/>
          <w:szCs w:val="16"/>
          <w:lang w:val="en-NZ" w:eastAsia="en-NZ"/>
        </w:rPr>
        <w:t>Melb</w:t>
      </w:r>
      <w:proofErr w:type="spellEnd"/>
      <w:r w:rsidR="00B84D39" w:rsidRPr="007D230E">
        <w:rPr>
          <w:rFonts w:ascii="Arial" w:eastAsia="Times New Roman" w:hAnsi="Arial" w:cs="Arial"/>
          <w:szCs w:val="16"/>
          <w:lang w:val="en-NZ" w:eastAsia="en-NZ"/>
        </w:rPr>
        <w:t>. 1987) FRACP 1986. Nora is a physician specialising in rheumatology who worked in both the public and private sectors from 1987-2014. She returned to Auckland University in 2015 where she is completing a Postgraduate Diploma in Population Health (Effective Practice) and a Graduate Diploma in History. She has held a number of professional advisory roles and leadership positions including member of the Core Services Consensus Development Panel for hip and knee replacement (1995),</w:t>
      </w:r>
      <w:r w:rsidR="00693DA8">
        <w:rPr>
          <w:rFonts w:ascii="Arial" w:eastAsia="Times New Roman" w:hAnsi="Arial" w:cs="Arial"/>
          <w:szCs w:val="16"/>
          <w:lang w:val="en-NZ" w:eastAsia="en-NZ"/>
        </w:rPr>
        <w:t xml:space="preserve"> </w:t>
      </w:r>
      <w:r w:rsidR="00B84D39" w:rsidRPr="007D230E">
        <w:rPr>
          <w:rFonts w:ascii="Arial" w:eastAsia="Times New Roman" w:hAnsi="Arial" w:cs="Arial"/>
          <w:szCs w:val="16"/>
          <w:lang w:val="en-NZ" w:eastAsia="en-NZ"/>
        </w:rPr>
        <w:t>member of the Royal Australasian College Physicians Specialist Advisory Committee for rheumatology training (1998</w:t>
      </w:r>
      <w:r w:rsidR="00693DA8">
        <w:rPr>
          <w:rFonts w:ascii="Arial" w:eastAsia="Times New Roman" w:hAnsi="Arial" w:cs="Arial"/>
          <w:szCs w:val="16"/>
          <w:lang w:val="en-NZ" w:eastAsia="en-NZ"/>
        </w:rPr>
        <w:t>–</w:t>
      </w:r>
      <w:r w:rsidR="00B84D39" w:rsidRPr="007D230E">
        <w:rPr>
          <w:rFonts w:ascii="Arial" w:eastAsia="Times New Roman" w:hAnsi="Arial" w:cs="Arial"/>
          <w:szCs w:val="16"/>
          <w:lang w:val="en-NZ" w:eastAsia="en-NZ"/>
        </w:rPr>
        <w:t>2004),</w:t>
      </w:r>
      <w:r w:rsidR="00693DA8">
        <w:rPr>
          <w:rFonts w:ascii="Arial" w:eastAsia="Times New Roman" w:hAnsi="Arial" w:cs="Arial"/>
          <w:szCs w:val="16"/>
          <w:lang w:val="en-NZ" w:eastAsia="en-NZ"/>
        </w:rPr>
        <w:t xml:space="preserve"> </w:t>
      </w:r>
      <w:r w:rsidR="00B84D39" w:rsidRPr="007D230E">
        <w:rPr>
          <w:rFonts w:ascii="Arial" w:eastAsia="Times New Roman" w:hAnsi="Arial" w:cs="Arial"/>
          <w:szCs w:val="16"/>
          <w:lang w:val="en-NZ" w:eastAsia="en-NZ"/>
        </w:rPr>
        <w:t>executive member (1995</w:t>
      </w:r>
      <w:r w:rsidR="00693DA8">
        <w:rPr>
          <w:rFonts w:ascii="Arial" w:eastAsia="Times New Roman" w:hAnsi="Arial" w:cs="Arial"/>
          <w:szCs w:val="16"/>
          <w:lang w:val="en-NZ" w:eastAsia="en-NZ"/>
        </w:rPr>
        <w:t>–</w:t>
      </w:r>
      <w:r w:rsidR="00B84D39" w:rsidRPr="007D230E">
        <w:rPr>
          <w:rFonts w:ascii="Arial" w:eastAsia="Times New Roman" w:hAnsi="Arial" w:cs="Arial"/>
          <w:szCs w:val="16"/>
          <w:lang w:val="en-NZ" w:eastAsia="en-NZ"/>
        </w:rPr>
        <w:t>2006) and President</w:t>
      </w:r>
      <w:r w:rsidR="00693DA8">
        <w:rPr>
          <w:rFonts w:ascii="Arial" w:eastAsia="Times New Roman" w:hAnsi="Arial" w:cs="Arial"/>
          <w:szCs w:val="16"/>
          <w:lang w:val="en-NZ" w:eastAsia="en-NZ"/>
        </w:rPr>
        <w:t xml:space="preserve"> </w:t>
      </w:r>
      <w:r w:rsidR="00B84D39" w:rsidRPr="007D230E">
        <w:rPr>
          <w:rFonts w:ascii="Arial" w:eastAsia="Times New Roman" w:hAnsi="Arial" w:cs="Arial"/>
          <w:szCs w:val="16"/>
          <w:lang w:val="en-NZ" w:eastAsia="en-NZ"/>
        </w:rPr>
        <w:t>(2006</w:t>
      </w:r>
      <w:r w:rsidR="00693DA8">
        <w:rPr>
          <w:rFonts w:ascii="Arial" w:eastAsia="Times New Roman" w:hAnsi="Arial" w:cs="Arial"/>
          <w:szCs w:val="16"/>
          <w:lang w:val="en-NZ" w:eastAsia="en-NZ"/>
        </w:rPr>
        <w:t>–</w:t>
      </w:r>
      <w:r w:rsidR="00B84D39" w:rsidRPr="007D230E">
        <w:rPr>
          <w:rFonts w:ascii="Arial" w:eastAsia="Times New Roman" w:hAnsi="Arial" w:cs="Arial"/>
          <w:szCs w:val="16"/>
          <w:lang w:val="en-NZ" w:eastAsia="en-NZ"/>
        </w:rPr>
        <w:t>2008) of the New Zealand Rheumatology Association, member PTAC Rheumatology Subcommittee (2010</w:t>
      </w:r>
      <w:r w:rsidR="00693DA8">
        <w:rPr>
          <w:rFonts w:ascii="Arial" w:eastAsia="Times New Roman" w:hAnsi="Arial" w:cs="Arial"/>
          <w:szCs w:val="16"/>
          <w:lang w:val="en-NZ" w:eastAsia="en-NZ"/>
        </w:rPr>
        <w:t>–2014</w:t>
      </w:r>
      <w:r w:rsidR="00B84D39" w:rsidRPr="007D230E">
        <w:rPr>
          <w:rFonts w:ascii="Arial" w:eastAsia="Times New Roman" w:hAnsi="Arial" w:cs="Arial"/>
          <w:szCs w:val="16"/>
          <w:lang w:val="en-NZ" w:eastAsia="en-NZ"/>
        </w:rPr>
        <w:t>)</w:t>
      </w:r>
      <w:r w:rsidR="00693DA8">
        <w:rPr>
          <w:rFonts w:ascii="Arial" w:eastAsia="Times New Roman" w:hAnsi="Arial" w:cs="Arial"/>
          <w:szCs w:val="16"/>
          <w:lang w:val="en-NZ" w:eastAsia="en-NZ"/>
        </w:rPr>
        <w:t xml:space="preserve"> </w:t>
      </w:r>
      <w:r w:rsidR="00B84D39" w:rsidRPr="007D230E">
        <w:rPr>
          <w:rFonts w:ascii="Arial" w:eastAsia="Times New Roman" w:hAnsi="Arial" w:cs="Arial"/>
          <w:szCs w:val="16"/>
          <w:lang w:val="en-NZ" w:eastAsia="en-NZ"/>
        </w:rPr>
        <w:t xml:space="preserve">and member on the Australasian 3e panel (Evidence, Expertise and Exchange) </w:t>
      </w:r>
      <w:r w:rsidR="00693DA8">
        <w:rPr>
          <w:rFonts w:ascii="Arial" w:eastAsia="Times New Roman" w:hAnsi="Arial" w:cs="Arial"/>
          <w:szCs w:val="16"/>
          <w:lang w:val="en-NZ" w:eastAsia="en-NZ"/>
        </w:rPr>
        <w:t>that</w:t>
      </w:r>
      <w:r w:rsidR="00B84D39" w:rsidRPr="007D230E">
        <w:rPr>
          <w:rFonts w:ascii="Arial" w:eastAsia="Times New Roman" w:hAnsi="Arial" w:cs="Arial"/>
          <w:szCs w:val="16"/>
          <w:lang w:val="en-NZ" w:eastAsia="en-NZ"/>
        </w:rPr>
        <w:t xml:space="preserve"> prepared treatment guidelines for local specialist use(2010</w:t>
      </w:r>
      <w:r w:rsidR="00693DA8">
        <w:rPr>
          <w:rFonts w:ascii="Arial" w:eastAsia="Times New Roman" w:hAnsi="Arial" w:cs="Arial"/>
          <w:szCs w:val="16"/>
          <w:lang w:val="en-NZ" w:eastAsia="en-NZ"/>
        </w:rPr>
        <w:t>–</w:t>
      </w:r>
      <w:r w:rsidR="00B84D39" w:rsidRPr="007D230E">
        <w:rPr>
          <w:rFonts w:ascii="Arial" w:eastAsia="Times New Roman" w:hAnsi="Arial" w:cs="Arial"/>
          <w:szCs w:val="16"/>
          <w:lang w:val="en-NZ" w:eastAsia="en-NZ"/>
        </w:rPr>
        <w:t>2013).</w:t>
      </w:r>
    </w:p>
    <w:p w:rsidR="0003365A" w:rsidRPr="007D230E" w:rsidRDefault="0003365A" w:rsidP="00445A67">
      <w:pPr>
        <w:rPr>
          <w:rFonts w:cs="Arial"/>
          <w:bCs/>
          <w:color w:val="FF0000"/>
          <w:sz w:val="20"/>
          <w:szCs w:val="20"/>
          <w:lang w:val="en-NZ" w:eastAsia="en-NZ"/>
        </w:rPr>
      </w:pPr>
    </w:p>
    <w:p w:rsidR="00AE5049" w:rsidRPr="007D230E" w:rsidRDefault="00A20EC3" w:rsidP="00445A67">
      <w:pPr>
        <w:pStyle w:val="Heading3"/>
        <w:rPr>
          <w:lang w:val="en-NZ"/>
        </w:rPr>
      </w:pPr>
      <w:r w:rsidRPr="007D230E">
        <w:rPr>
          <w:lang w:val="en-NZ"/>
        </w:rPr>
        <w:t xml:space="preserve">Former members </w:t>
      </w:r>
    </w:p>
    <w:p w:rsidR="00A20EC3" w:rsidRPr="007D230E" w:rsidRDefault="00A20EC3" w:rsidP="00445A67">
      <w:pPr>
        <w:rPr>
          <w:rFonts w:cs="Arial"/>
          <w:sz w:val="16"/>
          <w:szCs w:val="16"/>
          <w:lang w:val="en-NZ"/>
        </w:rPr>
      </w:pPr>
    </w:p>
    <w:tbl>
      <w:tblPr>
        <w:tblW w:w="8925" w:type="dxa"/>
        <w:tblCellSpacing w:w="15" w:type="dxa"/>
        <w:tblInd w:w="-63" w:type="dxa"/>
        <w:tblCellMar>
          <w:left w:w="0" w:type="dxa"/>
          <w:right w:w="0" w:type="dxa"/>
        </w:tblCellMar>
        <w:tblLook w:val="04A0" w:firstRow="1" w:lastRow="0" w:firstColumn="1" w:lastColumn="0" w:noHBand="0" w:noVBand="1"/>
      </w:tblPr>
      <w:tblGrid>
        <w:gridCol w:w="3085"/>
        <w:gridCol w:w="5840"/>
      </w:tblGrid>
      <w:tr w:rsidR="00445A67" w:rsidRPr="007D230E" w:rsidTr="00445A67">
        <w:trPr>
          <w:trHeight w:val="234"/>
          <w:tblCellSpacing w:w="15" w:type="dxa"/>
        </w:trPr>
        <w:tc>
          <w:tcPr>
            <w:tcW w:w="8865" w:type="dxa"/>
            <w:gridSpan w:val="2"/>
            <w:tcMar>
              <w:top w:w="15" w:type="dxa"/>
              <w:left w:w="15" w:type="dxa"/>
              <w:bottom w:w="15" w:type="dxa"/>
              <w:right w:w="15" w:type="dxa"/>
            </w:tcMar>
            <w:hideMark/>
          </w:tcPr>
          <w:p w:rsidR="00445A67" w:rsidRPr="007D230E" w:rsidRDefault="00445A67" w:rsidP="008B57D2">
            <w:pPr>
              <w:ind w:left="63"/>
              <w:rPr>
                <w:rFonts w:cs="Arial"/>
                <w:sz w:val="24"/>
                <w:lang w:val="en-NZ" w:eastAsia="en-NZ"/>
              </w:rPr>
            </w:pPr>
            <w:r w:rsidRPr="007D230E">
              <w:rPr>
                <w:rFonts w:cs="Arial"/>
                <w:b/>
                <w:bCs/>
                <w:sz w:val="20"/>
                <w:szCs w:val="20"/>
                <w:lang w:val="en-NZ" w:eastAsia="en-NZ"/>
              </w:rPr>
              <w:t xml:space="preserve">Ms </w:t>
            </w:r>
            <w:proofErr w:type="spellStart"/>
            <w:r w:rsidRPr="007D230E">
              <w:rPr>
                <w:rFonts w:cs="Arial"/>
                <w:b/>
                <w:bCs/>
                <w:sz w:val="20"/>
                <w:szCs w:val="20"/>
                <w:lang w:val="en-NZ" w:eastAsia="en-NZ"/>
              </w:rPr>
              <w:t>Raewyn</w:t>
            </w:r>
            <w:proofErr w:type="spellEnd"/>
            <w:r w:rsidRPr="007D230E">
              <w:rPr>
                <w:rFonts w:cs="Arial"/>
                <w:b/>
                <w:bCs/>
                <w:sz w:val="20"/>
                <w:szCs w:val="20"/>
                <w:lang w:val="en-NZ" w:eastAsia="en-NZ"/>
              </w:rPr>
              <w:t xml:space="preserve"> </w:t>
            </w:r>
            <w:proofErr w:type="spellStart"/>
            <w:r w:rsidRPr="007D230E">
              <w:rPr>
                <w:rFonts w:cs="Arial"/>
                <w:b/>
                <w:bCs/>
                <w:sz w:val="20"/>
                <w:szCs w:val="20"/>
                <w:lang w:val="en-NZ" w:eastAsia="en-NZ"/>
              </w:rPr>
              <w:t>Sporle</w:t>
            </w:r>
            <w:proofErr w:type="spellEnd"/>
            <w:r w:rsidRPr="007D230E">
              <w:rPr>
                <w:rFonts w:cs="Arial"/>
                <w:b/>
                <w:bCs/>
                <w:sz w:val="20"/>
                <w:szCs w:val="20"/>
                <w:lang w:val="en-NZ" w:eastAsia="en-NZ"/>
              </w:rPr>
              <w:t xml:space="preserve"> (Chair)</w:t>
            </w:r>
          </w:p>
        </w:tc>
      </w:tr>
      <w:tr w:rsidR="00445A67" w:rsidRPr="007D230E" w:rsidTr="00445A67">
        <w:trPr>
          <w:trHeight w:val="219"/>
          <w:tblCellSpacing w:w="15" w:type="dxa"/>
        </w:trPr>
        <w:tc>
          <w:tcPr>
            <w:tcW w:w="3040" w:type="dxa"/>
            <w:tcMar>
              <w:top w:w="15" w:type="dxa"/>
              <w:left w:w="15" w:type="dxa"/>
              <w:bottom w:w="15" w:type="dxa"/>
              <w:right w:w="15" w:type="dxa"/>
            </w:tcMar>
            <w:hideMark/>
          </w:tcPr>
          <w:p w:rsidR="00445A67" w:rsidRPr="007D230E" w:rsidRDefault="00445A67" w:rsidP="008B57D2">
            <w:pPr>
              <w:ind w:left="63"/>
              <w:rPr>
                <w:rFonts w:cs="Arial"/>
                <w:sz w:val="24"/>
                <w:lang w:val="en-NZ" w:eastAsia="en-NZ"/>
              </w:rPr>
            </w:pPr>
            <w:r w:rsidRPr="007D230E">
              <w:rPr>
                <w:rFonts w:cs="Arial"/>
                <w:sz w:val="20"/>
                <w:szCs w:val="20"/>
                <w:lang w:val="en-NZ" w:eastAsia="en-NZ"/>
              </w:rPr>
              <w:t>Membership category:</w:t>
            </w:r>
            <w:r w:rsidRPr="007D230E">
              <w:rPr>
                <w:rFonts w:cs="Arial"/>
                <w:sz w:val="24"/>
                <w:lang w:val="en-NZ" w:eastAsia="en-NZ"/>
              </w:rPr>
              <w:t xml:space="preserve"> </w:t>
            </w:r>
          </w:p>
        </w:tc>
        <w:tc>
          <w:tcPr>
            <w:tcW w:w="5795" w:type="dxa"/>
            <w:tcMar>
              <w:top w:w="15" w:type="dxa"/>
              <w:left w:w="15" w:type="dxa"/>
              <w:bottom w:w="15" w:type="dxa"/>
              <w:right w:w="15" w:type="dxa"/>
            </w:tcMar>
            <w:hideMark/>
          </w:tcPr>
          <w:p w:rsidR="00445A67" w:rsidRPr="007D230E" w:rsidRDefault="00445A67" w:rsidP="007556BC">
            <w:pPr>
              <w:rPr>
                <w:rFonts w:cs="Arial"/>
                <w:sz w:val="24"/>
                <w:lang w:val="en-NZ" w:eastAsia="en-NZ"/>
              </w:rPr>
            </w:pPr>
            <w:r w:rsidRPr="007D230E">
              <w:rPr>
                <w:rFonts w:cs="Arial"/>
                <w:sz w:val="20"/>
                <w:szCs w:val="20"/>
                <w:lang w:val="en-NZ" w:eastAsia="en-NZ"/>
              </w:rPr>
              <w:t>Lawyer</w:t>
            </w:r>
          </w:p>
        </w:tc>
      </w:tr>
      <w:tr w:rsidR="00445A67" w:rsidRPr="007D230E" w:rsidTr="00445A67">
        <w:trPr>
          <w:trHeight w:val="219"/>
          <w:tblCellSpacing w:w="15" w:type="dxa"/>
        </w:trPr>
        <w:tc>
          <w:tcPr>
            <w:tcW w:w="3040" w:type="dxa"/>
            <w:tcMar>
              <w:top w:w="15" w:type="dxa"/>
              <w:left w:w="15" w:type="dxa"/>
              <w:bottom w:w="15" w:type="dxa"/>
              <w:right w:w="15" w:type="dxa"/>
            </w:tcMar>
            <w:hideMark/>
          </w:tcPr>
          <w:p w:rsidR="00445A67" w:rsidRPr="007D230E" w:rsidRDefault="00445A67" w:rsidP="008B57D2">
            <w:pPr>
              <w:ind w:left="63"/>
              <w:rPr>
                <w:rFonts w:cs="Arial"/>
                <w:sz w:val="24"/>
                <w:lang w:val="en-NZ" w:eastAsia="en-NZ"/>
              </w:rPr>
            </w:pPr>
            <w:r w:rsidRPr="007D230E">
              <w:rPr>
                <w:rFonts w:cs="Arial"/>
                <w:sz w:val="20"/>
                <w:szCs w:val="20"/>
                <w:lang w:val="en-NZ" w:eastAsia="en-NZ"/>
              </w:rPr>
              <w:t>Date of appointment:</w:t>
            </w:r>
            <w:r w:rsidRPr="007D230E">
              <w:rPr>
                <w:rFonts w:cs="Arial"/>
                <w:sz w:val="24"/>
                <w:lang w:val="en-NZ" w:eastAsia="en-NZ"/>
              </w:rPr>
              <w:t xml:space="preserve"> </w:t>
            </w:r>
          </w:p>
        </w:tc>
        <w:tc>
          <w:tcPr>
            <w:tcW w:w="5795" w:type="dxa"/>
            <w:tcMar>
              <w:top w:w="15" w:type="dxa"/>
              <w:left w:w="15" w:type="dxa"/>
              <w:bottom w:w="15" w:type="dxa"/>
              <w:right w:w="15" w:type="dxa"/>
            </w:tcMar>
            <w:hideMark/>
          </w:tcPr>
          <w:p w:rsidR="00445A67" w:rsidRPr="007D230E" w:rsidRDefault="00445A67" w:rsidP="007556BC">
            <w:pPr>
              <w:rPr>
                <w:rFonts w:cs="Arial"/>
                <w:sz w:val="24"/>
                <w:lang w:val="en-NZ" w:eastAsia="en-NZ"/>
              </w:rPr>
            </w:pPr>
            <w:r w:rsidRPr="007D230E">
              <w:rPr>
                <w:rFonts w:cs="Arial"/>
                <w:sz w:val="20"/>
                <w:szCs w:val="20"/>
                <w:lang w:val="en-NZ" w:eastAsia="en-NZ"/>
              </w:rPr>
              <w:t>1 July 2012</w:t>
            </w:r>
          </w:p>
        </w:tc>
      </w:tr>
      <w:tr w:rsidR="00445A67" w:rsidRPr="007D230E" w:rsidTr="00445A67">
        <w:trPr>
          <w:trHeight w:val="234"/>
          <w:tblCellSpacing w:w="15" w:type="dxa"/>
        </w:trPr>
        <w:tc>
          <w:tcPr>
            <w:tcW w:w="3040" w:type="dxa"/>
            <w:tcMar>
              <w:top w:w="15" w:type="dxa"/>
              <w:left w:w="15" w:type="dxa"/>
              <w:bottom w:w="15" w:type="dxa"/>
              <w:right w:w="15" w:type="dxa"/>
            </w:tcMar>
            <w:hideMark/>
          </w:tcPr>
          <w:p w:rsidR="00445A67" w:rsidRPr="007D230E" w:rsidRDefault="00445A67" w:rsidP="008B57D2">
            <w:pPr>
              <w:ind w:left="63"/>
              <w:rPr>
                <w:rFonts w:cs="Arial"/>
                <w:sz w:val="24"/>
                <w:lang w:val="en-NZ" w:eastAsia="en-NZ"/>
              </w:rPr>
            </w:pPr>
            <w:r w:rsidRPr="007D230E">
              <w:rPr>
                <w:rFonts w:cs="Arial"/>
                <w:sz w:val="20"/>
                <w:szCs w:val="20"/>
                <w:lang w:val="en-NZ" w:eastAsia="en-NZ"/>
              </w:rPr>
              <w:t>Term expired:</w:t>
            </w:r>
            <w:r w:rsidRPr="007D230E">
              <w:rPr>
                <w:rFonts w:cs="Arial"/>
                <w:sz w:val="24"/>
                <w:lang w:val="en-NZ" w:eastAsia="en-NZ"/>
              </w:rPr>
              <w:t xml:space="preserve"> </w:t>
            </w:r>
          </w:p>
        </w:tc>
        <w:tc>
          <w:tcPr>
            <w:tcW w:w="5795" w:type="dxa"/>
            <w:tcMar>
              <w:top w:w="15" w:type="dxa"/>
              <w:left w:w="15" w:type="dxa"/>
              <w:bottom w:w="15" w:type="dxa"/>
              <w:right w:w="15" w:type="dxa"/>
            </w:tcMar>
            <w:hideMark/>
          </w:tcPr>
          <w:p w:rsidR="00445A67" w:rsidRPr="007D230E" w:rsidRDefault="00445A67" w:rsidP="007556BC">
            <w:pPr>
              <w:rPr>
                <w:rFonts w:cs="Arial"/>
                <w:sz w:val="24"/>
                <w:lang w:val="en-NZ" w:eastAsia="en-NZ"/>
              </w:rPr>
            </w:pPr>
            <w:r w:rsidRPr="007D230E">
              <w:rPr>
                <w:rFonts w:cs="Arial"/>
                <w:sz w:val="20"/>
                <w:szCs w:val="20"/>
                <w:lang w:val="en-NZ" w:eastAsia="en-NZ"/>
              </w:rPr>
              <w:t>1 July 2015</w:t>
            </w:r>
            <w:r w:rsidRPr="007D230E">
              <w:rPr>
                <w:rFonts w:cs="Arial"/>
                <w:sz w:val="24"/>
                <w:lang w:val="en-NZ" w:eastAsia="en-NZ"/>
              </w:rPr>
              <w:t xml:space="preserve"> </w:t>
            </w:r>
          </w:p>
        </w:tc>
      </w:tr>
    </w:tbl>
    <w:p w:rsidR="00445A67" w:rsidRPr="007D230E" w:rsidRDefault="00445A67" w:rsidP="00445A67">
      <w:pPr>
        <w:rPr>
          <w:rFonts w:cs="Arial"/>
          <w:lang w:val="en-NZ"/>
        </w:rPr>
      </w:pPr>
    </w:p>
    <w:tbl>
      <w:tblPr>
        <w:tblW w:w="8925" w:type="dxa"/>
        <w:tblCellSpacing w:w="15" w:type="dxa"/>
        <w:tblInd w:w="-63" w:type="dxa"/>
        <w:tblCellMar>
          <w:left w:w="0" w:type="dxa"/>
          <w:right w:w="0" w:type="dxa"/>
        </w:tblCellMar>
        <w:tblLook w:val="04A0" w:firstRow="1" w:lastRow="0" w:firstColumn="1" w:lastColumn="0" w:noHBand="0" w:noVBand="1"/>
      </w:tblPr>
      <w:tblGrid>
        <w:gridCol w:w="65"/>
        <w:gridCol w:w="2878"/>
        <w:gridCol w:w="5937"/>
        <w:gridCol w:w="45"/>
      </w:tblGrid>
      <w:tr w:rsidR="00445A67" w:rsidRPr="007D230E" w:rsidTr="007556BC">
        <w:trPr>
          <w:gridBefore w:val="1"/>
          <w:wBefore w:w="20" w:type="dxa"/>
          <w:trHeight w:val="225"/>
          <w:tblCellSpacing w:w="15" w:type="dxa"/>
        </w:trPr>
        <w:tc>
          <w:tcPr>
            <w:tcW w:w="0" w:type="auto"/>
            <w:gridSpan w:val="3"/>
            <w:tcMar>
              <w:top w:w="15" w:type="dxa"/>
              <w:left w:w="15" w:type="dxa"/>
              <w:bottom w:w="15" w:type="dxa"/>
              <w:right w:w="15" w:type="dxa"/>
            </w:tcMar>
            <w:hideMark/>
          </w:tcPr>
          <w:p w:rsidR="00445A67" w:rsidRPr="007D230E" w:rsidRDefault="00445A67" w:rsidP="008B57D2">
            <w:pPr>
              <w:ind w:left="140"/>
              <w:rPr>
                <w:rFonts w:cs="Arial"/>
                <w:sz w:val="24"/>
                <w:lang w:val="en-NZ" w:eastAsia="en-NZ"/>
              </w:rPr>
            </w:pPr>
            <w:r w:rsidRPr="007D230E">
              <w:rPr>
                <w:rFonts w:cs="Arial"/>
                <w:b/>
                <w:bCs/>
                <w:sz w:val="20"/>
                <w:szCs w:val="20"/>
                <w:lang w:val="en-NZ" w:eastAsia="en-NZ"/>
              </w:rPr>
              <w:t xml:space="preserve">Dr Paul </w:t>
            </w:r>
            <w:proofErr w:type="spellStart"/>
            <w:r w:rsidRPr="007D230E">
              <w:rPr>
                <w:rFonts w:cs="Arial"/>
                <w:b/>
                <w:bCs/>
                <w:sz w:val="20"/>
                <w:szCs w:val="20"/>
                <w:lang w:val="en-NZ" w:eastAsia="en-NZ"/>
              </w:rPr>
              <w:t>Tanser</w:t>
            </w:r>
            <w:proofErr w:type="spellEnd"/>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274"/>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Membership category:</w:t>
            </w:r>
          </w:p>
        </w:tc>
        <w:tc>
          <w:tcPr>
            <w:tcW w:w="5907" w:type="dxa"/>
          </w:tcPr>
          <w:p w:rsidR="00445A67" w:rsidRPr="007D230E" w:rsidRDefault="00445A67" w:rsidP="00693DA8">
            <w:pPr>
              <w:rPr>
                <w:rFonts w:cs="Arial"/>
                <w:sz w:val="20"/>
                <w:szCs w:val="20"/>
                <w:lang w:val="en-NZ" w:eastAsia="en-NZ"/>
              </w:rPr>
            </w:pPr>
            <w:r w:rsidRPr="007D230E">
              <w:rPr>
                <w:rFonts w:cs="Arial"/>
                <w:sz w:val="20"/>
                <w:szCs w:val="20"/>
                <w:lang w:val="en-NZ" w:eastAsia="en-NZ"/>
              </w:rPr>
              <w:t xml:space="preserve">Health </w:t>
            </w:r>
            <w:r w:rsidR="00693DA8">
              <w:rPr>
                <w:rFonts w:cs="Arial"/>
                <w:sz w:val="20"/>
                <w:szCs w:val="20"/>
                <w:lang w:val="en-NZ" w:eastAsia="en-NZ"/>
              </w:rPr>
              <w:t>p</w:t>
            </w:r>
            <w:r w:rsidRPr="007D230E">
              <w:rPr>
                <w:rFonts w:cs="Arial"/>
                <w:sz w:val="20"/>
                <w:szCs w:val="20"/>
                <w:lang w:val="en-NZ" w:eastAsia="en-NZ"/>
              </w:rPr>
              <w:t xml:space="preserve">ractitioner </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Height w:val="319"/>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Date of appointment:</w:t>
            </w:r>
          </w:p>
        </w:tc>
        <w:tc>
          <w:tcPr>
            <w:tcW w:w="5907" w:type="dxa"/>
          </w:tcPr>
          <w:p w:rsidR="00445A67" w:rsidRPr="007D230E" w:rsidRDefault="00445A67" w:rsidP="007556BC">
            <w:pPr>
              <w:rPr>
                <w:rFonts w:cs="Arial"/>
                <w:sz w:val="20"/>
                <w:szCs w:val="20"/>
                <w:lang w:val="en-NZ" w:eastAsia="en-NZ"/>
              </w:rPr>
            </w:pPr>
            <w:r w:rsidRPr="007D230E">
              <w:rPr>
                <w:rFonts w:cs="Arial"/>
                <w:sz w:val="20"/>
                <w:szCs w:val="20"/>
                <w:lang w:val="en-NZ" w:eastAsia="en-NZ"/>
              </w:rPr>
              <w:t>1 July 2012</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Current term expires:</w:t>
            </w:r>
          </w:p>
        </w:tc>
        <w:tc>
          <w:tcPr>
            <w:tcW w:w="5907"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1 July 2015</w:t>
            </w:r>
          </w:p>
        </w:tc>
      </w:tr>
    </w:tbl>
    <w:p w:rsidR="00445A67" w:rsidRPr="007D230E" w:rsidRDefault="00445A67" w:rsidP="00445A67">
      <w:pPr>
        <w:rPr>
          <w:rFonts w:cs="Arial"/>
          <w:lang w:val="en-NZ"/>
        </w:rPr>
      </w:pPr>
    </w:p>
    <w:tbl>
      <w:tblPr>
        <w:tblW w:w="8925" w:type="dxa"/>
        <w:tblCellSpacing w:w="15" w:type="dxa"/>
        <w:tblInd w:w="-63" w:type="dxa"/>
        <w:tblCellMar>
          <w:left w:w="0" w:type="dxa"/>
          <w:right w:w="0" w:type="dxa"/>
        </w:tblCellMar>
        <w:tblLook w:val="04A0" w:firstRow="1" w:lastRow="0" w:firstColumn="1" w:lastColumn="0" w:noHBand="0" w:noVBand="1"/>
      </w:tblPr>
      <w:tblGrid>
        <w:gridCol w:w="50"/>
        <w:gridCol w:w="2893"/>
        <w:gridCol w:w="5932"/>
        <w:gridCol w:w="50"/>
      </w:tblGrid>
      <w:tr w:rsidR="00445A67" w:rsidRPr="007D230E" w:rsidTr="007556BC">
        <w:trPr>
          <w:gridBefore w:val="1"/>
          <w:wBefore w:w="5" w:type="dxa"/>
          <w:trHeight w:val="409"/>
          <w:tblCellSpacing w:w="15" w:type="dxa"/>
        </w:trPr>
        <w:tc>
          <w:tcPr>
            <w:tcW w:w="8830" w:type="dxa"/>
            <w:gridSpan w:val="3"/>
            <w:tcMar>
              <w:top w:w="15" w:type="dxa"/>
              <w:left w:w="15" w:type="dxa"/>
              <w:bottom w:w="15" w:type="dxa"/>
              <w:right w:w="15" w:type="dxa"/>
            </w:tcMar>
          </w:tcPr>
          <w:p w:rsidR="00445A67" w:rsidRPr="007D230E" w:rsidRDefault="00445A67" w:rsidP="008B57D2">
            <w:pPr>
              <w:ind w:left="155"/>
              <w:rPr>
                <w:rFonts w:cs="Arial"/>
              </w:rPr>
            </w:pPr>
            <w:r w:rsidRPr="007D230E">
              <w:rPr>
                <w:rFonts w:cs="Arial"/>
                <w:b/>
                <w:bCs/>
                <w:sz w:val="20"/>
                <w:szCs w:val="20"/>
                <w:lang w:val="en-NZ" w:eastAsia="en-NZ"/>
              </w:rPr>
              <w:t xml:space="preserve">Ms </w:t>
            </w:r>
            <w:proofErr w:type="spellStart"/>
            <w:r w:rsidRPr="007D230E">
              <w:rPr>
                <w:rFonts w:cs="Arial"/>
                <w:b/>
                <w:bCs/>
                <w:sz w:val="20"/>
                <w:szCs w:val="20"/>
                <w:lang w:val="en-NZ" w:eastAsia="en-NZ"/>
              </w:rPr>
              <w:t>Kerin</w:t>
            </w:r>
            <w:proofErr w:type="spellEnd"/>
            <w:r w:rsidRPr="007D230E">
              <w:rPr>
                <w:rFonts w:cs="Arial"/>
                <w:b/>
                <w:bCs/>
                <w:sz w:val="20"/>
                <w:szCs w:val="20"/>
                <w:lang w:val="en-NZ" w:eastAsia="en-NZ"/>
              </w:rPr>
              <w:t xml:space="preserve"> Thomson</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wAfter w:w="5" w:type="dxa"/>
          <w:trHeight w:val="274"/>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Membership category:</w:t>
            </w:r>
          </w:p>
        </w:tc>
        <w:tc>
          <w:tcPr>
            <w:tcW w:w="5902" w:type="dxa"/>
          </w:tcPr>
          <w:p w:rsidR="00445A67" w:rsidRPr="007D230E" w:rsidRDefault="00445A67" w:rsidP="00693DA8">
            <w:pPr>
              <w:rPr>
                <w:rFonts w:cs="Arial"/>
                <w:sz w:val="20"/>
                <w:szCs w:val="20"/>
                <w:lang w:val="en-NZ" w:eastAsia="en-NZ"/>
              </w:rPr>
            </w:pPr>
            <w:r w:rsidRPr="007D230E">
              <w:rPr>
                <w:rFonts w:cs="Arial"/>
                <w:sz w:val="20"/>
                <w:szCs w:val="20"/>
                <w:lang w:val="en-NZ" w:eastAsia="en-NZ"/>
              </w:rPr>
              <w:t xml:space="preserve">Health </w:t>
            </w:r>
            <w:r w:rsidR="00693DA8">
              <w:rPr>
                <w:rFonts w:cs="Arial"/>
                <w:sz w:val="20"/>
                <w:szCs w:val="20"/>
                <w:lang w:val="en-NZ" w:eastAsia="en-NZ"/>
              </w:rPr>
              <w:t>r</w:t>
            </w:r>
            <w:r w:rsidRPr="007D230E">
              <w:rPr>
                <w:rFonts w:cs="Arial"/>
                <w:sz w:val="20"/>
                <w:szCs w:val="20"/>
                <w:lang w:val="en-NZ" w:eastAsia="en-NZ"/>
              </w:rPr>
              <w:t>esearcher</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wAfter w:w="5" w:type="dxa"/>
          <w:trHeight w:val="319"/>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Date of appointment:</w:t>
            </w:r>
          </w:p>
        </w:tc>
        <w:tc>
          <w:tcPr>
            <w:tcW w:w="5902" w:type="dxa"/>
          </w:tcPr>
          <w:p w:rsidR="00445A67" w:rsidRPr="007D230E" w:rsidRDefault="00445A67" w:rsidP="007556BC">
            <w:pPr>
              <w:rPr>
                <w:rFonts w:cs="Arial"/>
                <w:sz w:val="20"/>
                <w:szCs w:val="20"/>
                <w:lang w:val="en-NZ" w:eastAsia="en-NZ"/>
              </w:rPr>
            </w:pPr>
            <w:r w:rsidRPr="007D230E">
              <w:rPr>
                <w:rFonts w:cs="Arial"/>
                <w:sz w:val="20"/>
                <w:szCs w:val="20"/>
                <w:lang w:val="en-NZ" w:eastAsia="en-NZ"/>
              </w:rPr>
              <w:t>1 July 2012</w:t>
            </w:r>
          </w:p>
        </w:tc>
      </w:tr>
      <w:tr w:rsidR="00445A67" w:rsidRPr="007D230E" w:rsidTr="00445A67">
        <w:tblPrEx>
          <w:tblCellSpacing w:w="0" w:type="nil"/>
          <w:tblCellMar>
            <w:left w:w="108" w:type="dxa"/>
            <w:right w:w="108" w:type="dxa"/>
          </w:tblCellMar>
          <w:tblLook w:val="00A0" w:firstRow="1" w:lastRow="0" w:firstColumn="1" w:lastColumn="0" w:noHBand="0" w:noVBand="0"/>
        </w:tblPrEx>
        <w:trPr>
          <w:gridAfter w:val="1"/>
          <w:wAfter w:w="5" w:type="dxa"/>
          <w:trHeight w:val="129"/>
        </w:trPr>
        <w:tc>
          <w:tcPr>
            <w:tcW w:w="2898" w:type="dxa"/>
            <w:gridSpan w:val="2"/>
          </w:tcPr>
          <w:p w:rsidR="00445A67" w:rsidRPr="007D230E" w:rsidRDefault="00445A67" w:rsidP="008B57D2">
            <w:pPr>
              <w:ind w:left="142"/>
              <w:rPr>
                <w:rFonts w:cs="Arial"/>
                <w:sz w:val="20"/>
                <w:szCs w:val="20"/>
                <w:lang w:val="en-NZ" w:eastAsia="en-NZ"/>
              </w:rPr>
            </w:pPr>
            <w:r w:rsidRPr="007D230E">
              <w:rPr>
                <w:rFonts w:cs="Arial"/>
                <w:sz w:val="20"/>
                <w:szCs w:val="20"/>
                <w:lang w:val="en-NZ" w:eastAsia="en-NZ"/>
              </w:rPr>
              <w:t>Term expired:</w:t>
            </w:r>
          </w:p>
        </w:tc>
        <w:tc>
          <w:tcPr>
            <w:tcW w:w="5902" w:type="dxa"/>
          </w:tcPr>
          <w:p w:rsidR="00445A67" w:rsidRPr="007D230E" w:rsidRDefault="00445A67" w:rsidP="00445A67">
            <w:pPr>
              <w:rPr>
                <w:rFonts w:cs="Arial"/>
                <w:sz w:val="20"/>
                <w:szCs w:val="20"/>
                <w:lang w:val="en-NZ" w:eastAsia="en-NZ"/>
              </w:rPr>
            </w:pPr>
            <w:r w:rsidRPr="007D230E">
              <w:rPr>
                <w:rFonts w:cs="Arial"/>
                <w:sz w:val="20"/>
                <w:szCs w:val="20"/>
                <w:lang w:val="en-NZ" w:eastAsia="en-NZ"/>
              </w:rPr>
              <w:t>1 July 2015</w:t>
            </w:r>
          </w:p>
        </w:tc>
      </w:tr>
    </w:tbl>
    <w:p w:rsidR="001B4702" w:rsidRDefault="001B4702" w:rsidP="00445A67">
      <w:pPr>
        <w:pStyle w:val="Heading2"/>
        <w:rPr>
          <w:i w:val="0"/>
          <w:lang w:val="en-NZ"/>
        </w:rPr>
      </w:pPr>
    </w:p>
    <w:p w:rsidR="001B4702" w:rsidRDefault="001B4702">
      <w:pPr>
        <w:spacing w:after="200" w:line="276" w:lineRule="auto"/>
        <w:rPr>
          <w:rFonts w:cs="Arial"/>
          <w:b/>
          <w:bCs/>
          <w:iCs/>
          <w:sz w:val="28"/>
          <w:szCs w:val="28"/>
          <w:lang w:val="en-NZ"/>
        </w:rPr>
      </w:pPr>
      <w:r>
        <w:rPr>
          <w:i/>
          <w:lang w:val="en-NZ"/>
        </w:rPr>
        <w:br w:type="page"/>
      </w:r>
    </w:p>
    <w:p w:rsidR="0040216C" w:rsidRPr="007D230E" w:rsidRDefault="0040216C" w:rsidP="00445A67">
      <w:pPr>
        <w:pStyle w:val="Heading2"/>
        <w:rPr>
          <w:i w:val="0"/>
          <w:lang w:val="en-NZ"/>
        </w:rPr>
      </w:pPr>
      <w:bookmarkStart w:id="17" w:name="_Toc526403843"/>
      <w:r w:rsidRPr="007D230E">
        <w:rPr>
          <w:i w:val="0"/>
          <w:lang w:val="en-NZ"/>
        </w:rPr>
        <w:lastRenderedPageBreak/>
        <w:t>Attendance</w:t>
      </w:r>
      <w:bookmarkEnd w:id="16"/>
      <w:bookmarkEnd w:id="17"/>
    </w:p>
    <w:p w:rsidR="0040216C" w:rsidRPr="007D230E" w:rsidRDefault="0040216C" w:rsidP="00445A67">
      <w:pPr>
        <w:rPr>
          <w:rFonts w:cs="Arial"/>
          <w:lang w:val="en-NZ"/>
        </w:rPr>
      </w:pPr>
      <w:r w:rsidRPr="007D230E">
        <w:rPr>
          <w:rFonts w:cs="Arial"/>
          <w:lang w:val="en-NZ"/>
        </w:rPr>
        <w:t xml:space="preserve">The Northern B HDEC held </w:t>
      </w:r>
      <w:r w:rsidR="007D230E" w:rsidRPr="007D230E">
        <w:rPr>
          <w:rFonts w:cs="Arial"/>
          <w:lang w:val="en-NZ"/>
        </w:rPr>
        <w:t>9</w:t>
      </w:r>
      <w:r w:rsidRPr="007D230E">
        <w:rPr>
          <w:rFonts w:cs="Arial"/>
          <w:lang w:val="en-NZ"/>
        </w:rPr>
        <w:t xml:space="preserve"> meetings in 201</w:t>
      </w:r>
      <w:r w:rsidR="000F44F2" w:rsidRPr="007D230E">
        <w:rPr>
          <w:rFonts w:cs="Arial"/>
          <w:lang w:val="en-NZ"/>
        </w:rPr>
        <w:t>5</w:t>
      </w:r>
      <w:r w:rsidRPr="007D230E">
        <w:rPr>
          <w:rFonts w:cs="Arial"/>
          <w:lang w:val="en-NZ"/>
        </w:rPr>
        <w:t>.</w:t>
      </w:r>
    </w:p>
    <w:p w:rsidR="0040216C" w:rsidRPr="007D230E" w:rsidRDefault="0040216C" w:rsidP="00445A67">
      <w:pPr>
        <w:rPr>
          <w:rFonts w:cs="Arial"/>
          <w:lang w:val="en-NZ"/>
        </w:rPr>
      </w:pPr>
    </w:p>
    <w:tbl>
      <w:tblPr>
        <w:tblStyle w:val="TableGrid"/>
        <w:tblW w:w="5482" w:type="pct"/>
        <w:tblLook w:val="04A0" w:firstRow="1" w:lastRow="0" w:firstColumn="1" w:lastColumn="0" w:noHBand="0" w:noVBand="1"/>
      </w:tblPr>
      <w:tblGrid>
        <w:gridCol w:w="498"/>
        <w:gridCol w:w="472"/>
        <w:gridCol w:w="1109"/>
        <w:gridCol w:w="486"/>
        <w:gridCol w:w="504"/>
        <w:gridCol w:w="504"/>
        <w:gridCol w:w="471"/>
        <w:gridCol w:w="533"/>
        <w:gridCol w:w="575"/>
        <w:gridCol w:w="513"/>
        <w:gridCol w:w="707"/>
        <w:gridCol w:w="557"/>
        <w:gridCol w:w="471"/>
        <w:gridCol w:w="513"/>
        <w:gridCol w:w="522"/>
        <w:gridCol w:w="13"/>
        <w:gridCol w:w="606"/>
        <w:gridCol w:w="13"/>
      </w:tblGrid>
      <w:tr w:rsidR="00CB09C3" w:rsidRPr="007D230E" w:rsidTr="007D230E">
        <w:trPr>
          <w:trHeight w:val="396"/>
        </w:trPr>
        <w:tc>
          <w:tcPr>
            <w:tcW w:w="1145" w:type="pct"/>
            <w:gridSpan w:val="3"/>
            <w:vMerge w:val="restart"/>
            <w:vAlign w:val="center"/>
          </w:tcPr>
          <w:p w:rsidR="00CB09C3" w:rsidRPr="007D230E" w:rsidRDefault="00CB09C3" w:rsidP="00445A67">
            <w:pPr>
              <w:tabs>
                <w:tab w:val="left" w:pos="459"/>
              </w:tabs>
              <w:spacing w:before="40" w:after="40"/>
              <w:jc w:val="center"/>
              <w:rPr>
                <w:rFonts w:ascii="Arial" w:hAnsi="Arial" w:cs="Arial"/>
                <w:sz w:val="16"/>
                <w:szCs w:val="16"/>
              </w:rPr>
            </w:pPr>
            <w:r w:rsidRPr="007D230E">
              <w:rPr>
                <w:rFonts w:ascii="Arial" w:hAnsi="Arial" w:cs="Arial"/>
                <w:b/>
                <w:sz w:val="16"/>
                <w:szCs w:val="16"/>
              </w:rPr>
              <w:t>Members</w:t>
            </w:r>
          </w:p>
        </w:tc>
        <w:tc>
          <w:tcPr>
            <w:tcW w:w="3513" w:type="pct"/>
            <w:gridSpan w:val="13"/>
            <w:vAlign w:val="center"/>
          </w:tcPr>
          <w:p w:rsidR="00CB09C3" w:rsidRPr="007D230E" w:rsidRDefault="00CB09C3" w:rsidP="00445A67">
            <w:pPr>
              <w:jc w:val="center"/>
              <w:rPr>
                <w:rFonts w:ascii="Arial" w:hAnsi="Arial" w:cs="Arial"/>
                <w:b/>
                <w:sz w:val="16"/>
                <w:szCs w:val="16"/>
              </w:rPr>
            </w:pPr>
            <w:r w:rsidRPr="007D230E">
              <w:rPr>
                <w:rFonts w:ascii="Arial" w:hAnsi="Arial" w:cs="Arial"/>
                <w:b/>
                <w:sz w:val="16"/>
                <w:szCs w:val="16"/>
              </w:rPr>
              <w:t>Meetings</w:t>
            </w:r>
          </w:p>
        </w:tc>
        <w:tc>
          <w:tcPr>
            <w:tcW w:w="341" w:type="pct"/>
            <w:gridSpan w:val="2"/>
            <w:vAlign w:val="center"/>
          </w:tcPr>
          <w:p w:rsidR="00CB09C3" w:rsidRPr="007D230E" w:rsidRDefault="00CB09C3" w:rsidP="00445A67">
            <w:pPr>
              <w:rPr>
                <w:rFonts w:ascii="Arial" w:hAnsi="Arial" w:cs="Arial"/>
                <w:sz w:val="16"/>
                <w:szCs w:val="16"/>
              </w:rPr>
            </w:pPr>
            <w:r w:rsidRPr="007D230E">
              <w:rPr>
                <w:rFonts w:ascii="Arial" w:hAnsi="Arial" w:cs="Arial"/>
                <w:b/>
                <w:sz w:val="16"/>
                <w:szCs w:val="16"/>
              </w:rPr>
              <w:t>Total</w:t>
            </w:r>
          </w:p>
        </w:tc>
      </w:tr>
      <w:tr w:rsidR="007D230E" w:rsidRPr="007D230E" w:rsidTr="007D230E">
        <w:trPr>
          <w:gridAfter w:val="1"/>
          <w:wAfter w:w="6" w:type="pct"/>
          <w:trHeight w:val="277"/>
        </w:trPr>
        <w:tc>
          <w:tcPr>
            <w:tcW w:w="1145" w:type="pct"/>
            <w:gridSpan w:val="3"/>
            <w:vMerge/>
            <w:vAlign w:val="center"/>
          </w:tcPr>
          <w:p w:rsidR="00CB09C3" w:rsidRPr="007D230E" w:rsidRDefault="00CB09C3" w:rsidP="00445A67">
            <w:pPr>
              <w:tabs>
                <w:tab w:val="left" w:pos="459"/>
              </w:tabs>
              <w:spacing w:before="40" w:after="40"/>
              <w:jc w:val="center"/>
              <w:rPr>
                <w:rFonts w:ascii="Arial" w:hAnsi="Arial" w:cs="Arial"/>
                <w:b/>
                <w:sz w:val="16"/>
                <w:szCs w:val="16"/>
              </w:rPr>
            </w:pPr>
          </w:p>
        </w:tc>
        <w:tc>
          <w:tcPr>
            <w:tcW w:w="268"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Jan</w:t>
            </w:r>
          </w:p>
        </w:tc>
        <w:tc>
          <w:tcPr>
            <w:tcW w:w="278"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Feb</w:t>
            </w:r>
          </w:p>
        </w:tc>
        <w:tc>
          <w:tcPr>
            <w:tcW w:w="278"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Mar</w:t>
            </w:r>
          </w:p>
        </w:tc>
        <w:tc>
          <w:tcPr>
            <w:tcW w:w="260"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Apr</w:t>
            </w:r>
          </w:p>
        </w:tc>
        <w:tc>
          <w:tcPr>
            <w:tcW w:w="294"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May</w:t>
            </w:r>
          </w:p>
        </w:tc>
        <w:tc>
          <w:tcPr>
            <w:tcW w:w="317"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June</w:t>
            </w:r>
          </w:p>
        </w:tc>
        <w:tc>
          <w:tcPr>
            <w:tcW w:w="283"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July</w:t>
            </w:r>
          </w:p>
        </w:tc>
        <w:tc>
          <w:tcPr>
            <w:tcW w:w="390"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Aug</w:t>
            </w:r>
          </w:p>
        </w:tc>
        <w:tc>
          <w:tcPr>
            <w:tcW w:w="307"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Sept</w:t>
            </w:r>
          </w:p>
        </w:tc>
        <w:tc>
          <w:tcPr>
            <w:tcW w:w="260"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Oct</w:t>
            </w:r>
          </w:p>
        </w:tc>
        <w:tc>
          <w:tcPr>
            <w:tcW w:w="283"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Nov</w:t>
            </w:r>
          </w:p>
        </w:tc>
        <w:tc>
          <w:tcPr>
            <w:tcW w:w="288" w:type="pct"/>
            <w:shd w:val="clear" w:color="auto" w:fill="auto"/>
            <w:vAlign w:val="center"/>
          </w:tcPr>
          <w:p w:rsidR="00CB09C3" w:rsidRPr="007D230E" w:rsidRDefault="00CB09C3" w:rsidP="00445A67">
            <w:pPr>
              <w:spacing w:before="40" w:after="40"/>
              <w:jc w:val="center"/>
              <w:rPr>
                <w:rFonts w:ascii="Arial" w:hAnsi="Arial" w:cs="Arial"/>
                <w:sz w:val="16"/>
                <w:szCs w:val="16"/>
              </w:rPr>
            </w:pPr>
            <w:r w:rsidRPr="007D230E">
              <w:rPr>
                <w:rFonts w:ascii="Arial" w:hAnsi="Arial" w:cs="Arial"/>
                <w:sz w:val="16"/>
                <w:szCs w:val="16"/>
              </w:rPr>
              <w:t>Dec</w:t>
            </w: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p>
        </w:tc>
      </w:tr>
      <w:tr w:rsidR="007D230E" w:rsidRPr="007D230E" w:rsidTr="007D230E">
        <w:trPr>
          <w:gridAfter w:val="1"/>
          <w:wAfter w:w="7" w:type="pct"/>
          <w:trHeight w:val="538"/>
        </w:trPr>
        <w:tc>
          <w:tcPr>
            <w:tcW w:w="274" w:type="pct"/>
            <w:vMerge w:val="restart"/>
            <w:textDirection w:val="btLr"/>
            <w:vAlign w:val="center"/>
          </w:tcPr>
          <w:p w:rsidR="00CB09C3" w:rsidRPr="007D230E" w:rsidRDefault="00CB09C3" w:rsidP="00445A67">
            <w:pPr>
              <w:spacing w:before="40" w:after="40"/>
              <w:ind w:left="113" w:right="113"/>
              <w:jc w:val="center"/>
              <w:rPr>
                <w:rFonts w:ascii="Arial" w:hAnsi="Arial" w:cs="Arial"/>
                <w:sz w:val="16"/>
                <w:szCs w:val="16"/>
              </w:rPr>
            </w:pPr>
            <w:r w:rsidRPr="007D230E">
              <w:rPr>
                <w:rFonts w:ascii="Arial" w:hAnsi="Arial" w:cs="Arial"/>
                <w:sz w:val="16"/>
                <w:szCs w:val="16"/>
              </w:rPr>
              <w:t>Lay members</w:t>
            </w: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L</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Mrs</w:t>
            </w:r>
            <w:proofErr w:type="spellEnd"/>
            <w:r w:rsidRPr="007D230E">
              <w:rPr>
                <w:rFonts w:ascii="Arial" w:hAnsi="Arial" w:cs="Arial"/>
                <w:sz w:val="16"/>
                <w:szCs w:val="16"/>
              </w:rPr>
              <w:t xml:space="preserve"> </w:t>
            </w:r>
            <w:proofErr w:type="spellStart"/>
            <w:r w:rsidRPr="007D230E">
              <w:rPr>
                <w:rFonts w:ascii="Arial" w:hAnsi="Arial" w:cs="Arial"/>
                <w:sz w:val="16"/>
                <w:szCs w:val="16"/>
              </w:rPr>
              <w:t>Raewyn</w:t>
            </w:r>
            <w:proofErr w:type="spellEnd"/>
            <w:r w:rsidRPr="007D230E">
              <w:rPr>
                <w:rFonts w:ascii="Arial" w:hAnsi="Arial" w:cs="Arial"/>
                <w:sz w:val="16"/>
                <w:szCs w:val="16"/>
              </w:rPr>
              <w:t xml:space="preserve"> </w:t>
            </w:r>
            <w:proofErr w:type="spellStart"/>
            <w:r w:rsidRPr="007D230E">
              <w:rPr>
                <w:rFonts w:ascii="Arial" w:hAnsi="Arial" w:cs="Arial"/>
                <w:sz w:val="16"/>
                <w:szCs w:val="16"/>
              </w:rPr>
              <w:t>Sporle</w:t>
            </w:r>
            <w:proofErr w:type="spellEnd"/>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39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0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6/9</w:t>
            </w:r>
          </w:p>
        </w:tc>
      </w:tr>
      <w:tr w:rsidR="007D230E" w:rsidRPr="007D230E" w:rsidTr="007D230E">
        <w:trPr>
          <w:gridAfter w:val="1"/>
          <w:wAfter w:w="7" w:type="pct"/>
          <w:trHeight w:val="538"/>
        </w:trPr>
        <w:tc>
          <w:tcPr>
            <w:tcW w:w="274" w:type="pct"/>
            <w:vMerge/>
            <w:textDirection w:val="btLr"/>
            <w:vAlign w:val="center"/>
          </w:tcPr>
          <w:p w:rsidR="00CB09C3" w:rsidRPr="007D230E" w:rsidRDefault="00CB09C3" w:rsidP="00445A67">
            <w:pPr>
              <w:ind w:left="113" w:right="113"/>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Cm</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Mrs</w:t>
            </w:r>
            <w:proofErr w:type="spellEnd"/>
            <w:r w:rsidRPr="007D230E">
              <w:rPr>
                <w:rFonts w:ascii="Arial" w:hAnsi="Arial" w:cs="Arial"/>
                <w:sz w:val="16"/>
                <w:szCs w:val="16"/>
              </w:rPr>
              <w:t xml:space="preserve"> </w:t>
            </w:r>
            <w:proofErr w:type="spellStart"/>
            <w:r w:rsidRPr="007D230E">
              <w:rPr>
                <w:rFonts w:ascii="Arial" w:hAnsi="Arial" w:cs="Arial"/>
                <w:sz w:val="16"/>
                <w:szCs w:val="16"/>
              </w:rPr>
              <w:t>Maliaga</w:t>
            </w:r>
            <w:proofErr w:type="spellEnd"/>
            <w:r w:rsidRPr="007D230E">
              <w:rPr>
                <w:rFonts w:ascii="Arial" w:hAnsi="Arial" w:cs="Arial"/>
                <w:sz w:val="16"/>
                <w:szCs w:val="16"/>
              </w:rPr>
              <w:t xml:space="preserve"> Erick</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b/>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9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0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8/9</w:t>
            </w:r>
          </w:p>
        </w:tc>
      </w:tr>
      <w:tr w:rsidR="007D230E" w:rsidRPr="007D230E" w:rsidTr="007D230E">
        <w:trPr>
          <w:gridAfter w:val="1"/>
          <w:wAfter w:w="7" w:type="pct"/>
          <w:trHeight w:val="377"/>
        </w:trPr>
        <w:tc>
          <w:tcPr>
            <w:tcW w:w="274" w:type="pct"/>
            <w:vMerge/>
            <w:textDirection w:val="btLr"/>
            <w:vAlign w:val="center"/>
          </w:tcPr>
          <w:p w:rsidR="00CB09C3" w:rsidRPr="007D230E" w:rsidRDefault="00CB09C3" w:rsidP="00445A67">
            <w:pPr>
              <w:ind w:left="113" w:right="113"/>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Cn</w:t>
            </w:r>
            <w:proofErr w:type="spellEnd"/>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Mrs</w:t>
            </w:r>
            <w:proofErr w:type="spellEnd"/>
            <w:r w:rsidRPr="007D230E">
              <w:rPr>
                <w:rFonts w:ascii="Arial" w:hAnsi="Arial" w:cs="Arial"/>
                <w:sz w:val="16"/>
                <w:szCs w:val="16"/>
              </w:rPr>
              <w:t xml:space="preserve"> Phyllis </w:t>
            </w:r>
            <w:proofErr w:type="spellStart"/>
            <w:r w:rsidRPr="007D230E">
              <w:rPr>
                <w:rFonts w:ascii="Arial" w:hAnsi="Arial" w:cs="Arial"/>
                <w:sz w:val="16"/>
                <w:szCs w:val="16"/>
              </w:rPr>
              <w:t>Huitema</w:t>
            </w:r>
            <w:proofErr w:type="spellEnd"/>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i/>
                <w:sz w:val="16"/>
                <w:szCs w:val="16"/>
              </w:rPr>
            </w:pPr>
            <w:r w:rsidRPr="007D230E">
              <w:rPr>
                <w:rFonts w:ascii="Arial" w:hAnsi="Arial" w:cs="Arial"/>
                <w:i/>
                <w:color w:val="FF0000"/>
                <w:sz w:val="16"/>
                <w:szCs w:val="16"/>
              </w:rPr>
              <w:t>A</w:t>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39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0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7/9</w:t>
            </w:r>
          </w:p>
        </w:tc>
      </w:tr>
      <w:tr w:rsidR="007D230E" w:rsidRPr="007D230E" w:rsidTr="007D230E">
        <w:trPr>
          <w:gridAfter w:val="1"/>
          <w:wAfter w:w="7" w:type="pct"/>
          <w:trHeight w:val="242"/>
        </w:trPr>
        <w:tc>
          <w:tcPr>
            <w:tcW w:w="274" w:type="pct"/>
            <w:vMerge/>
            <w:textDirection w:val="btLr"/>
            <w:vAlign w:val="center"/>
          </w:tcPr>
          <w:p w:rsidR="00CB09C3" w:rsidRPr="007D230E" w:rsidRDefault="00CB09C3" w:rsidP="00445A67">
            <w:pPr>
              <w:ind w:left="113" w:right="113"/>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Cn</w:t>
            </w:r>
            <w:proofErr w:type="spellEnd"/>
            <w:r w:rsidRPr="007D230E">
              <w:rPr>
                <w:rFonts w:ascii="Arial" w:hAnsi="Arial" w:cs="Arial"/>
                <w:sz w:val="16"/>
                <w:szCs w:val="16"/>
              </w:rPr>
              <w:t xml:space="preserve"> </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Ms</w:t>
            </w:r>
            <w:proofErr w:type="spellEnd"/>
            <w:r w:rsidRPr="007D230E">
              <w:rPr>
                <w:rFonts w:ascii="Arial" w:hAnsi="Arial" w:cs="Arial"/>
                <w:sz w:val="16"/>
                <w:szCs w:val="16"/>
              </w:rPr>
              <w:t xml:space="preserve"> </w:t>
            </w:r>
            <w:proofErr w:type="spellStart"/>
            <w:r w:rsidRPr="007D230E">
              <w:rPr>
                <w:rFonts w:ascii="Arial" w:hAnsi="Arial" w:cs="Arial"/>
                <w:sz w:val="16"/>
                <w:szCs w:val="16"/>
              </w:rPr>
              <w:t>Tangihare</w:t>
            </w:r>
            <w:proofErr w:type="spellEnd"/>
            <w:r w:rsidRPr="007D230E">
              <w:rPr>
                <w:rFonts w:ascii="Arial" w:hAnsi="Arial" w:cs="Arial"/>
                <w:sz w:val="16"/>
                <w:szCs w:val="16"/>
              </w:rPr>
              <w:t xml:space="preserve"> MacFarlane</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9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0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9/9</w:t>
            </w:r>
          </w:p>
        </w:tc>
      </w:tr>
      <w:tr w:rsidR="007D230E" w:rsidRPr="007D230E" w:rsidTr="007D230E">
        <w:trPr>
          <w:gridAfter w:val="1"/>
          <w:wAfter w:w="7" w:type="pct"/>
          <w:trHeight w:val="712"/>
        </w:trPr>
        <w:tc>
          <w:tcPr>
            <w:tcW w:w="274" w:type="pct"/>
            <w:textDirection w:val="btLr"/>
            <w:vAlign w:val="center"/>
          </w:tcPr>
          <w:p w:rsidR="00CB09C3" w:rsidRPr="007D230E" w:rsidRDefault="00CB09C3" w:rsidP="00445A67">
            <w:pPr>
              <w:ind w:left="113" w:right="113"/>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Cm</w:t>
            </w:r>
          </w:p>
        </w:tc>
        <w:tc>
          <w:tcPr>
            <w:tcW w:w="61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 xml:space="preserve">Kerry </w:t>
            </w:r>
            <w:proofErr w:type="spellStart"/>
            <w:r w:rsidRPr="007D230E">
              <w:rPr>
                <w:rFonts w:ascii="Arial" w:hAnsi="Arial" w:cs="Arial"/>
                <w:sz w:val="16"/>
                <w:szCs w:val="16"/>
              </w:rPr>
              <w:t>Hiini</w:t>
            </w:r>
            <w:proofErr w:type="spellEnd"/>
            <w:r w:rsidRPr="007D230E">
              <w:rPr>
                <w:rFonts w:ascii="Arial" w:hAnsi="Arial" w:cs="Arial"/>
                <w:sz w:val="16"/>
                <w:szCs w:val="16"/>
              </w:rPr>
              <w:t xml:space="preserve"> (Co-opted from NTA HDEC)</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9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0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1/1</w:t>
            </w:r>
          </w:p>
        </w:tc>
      </w:tr>
      <w:tr w:rsidR="007D230E" w:rsidRPr="007D230E" w:rsidTr="007D230E">
        <w:trPr>
          <w:gridAfter w:val="1"/>
          <w:wAfter w:w="7" w:type="pct"/>
          <w:trHeight w:val="888"/>
        </w:trPr>
        <w:tc>
          <w:tcPr>
            <w:tcW w:w="274" w:type="pct"/>
            <w:textDirection w:val="btLr"/>
            <w:vAlign w:val="center"/>
          </w:tcPr>
          <w:p w:rsidR="00CB09C3" w:rsidRPr="007D230E" w:rsidRDefault="00CB09C3" w:rsidP="00445A67">
            <w:pPr>
              <w:ind w:left="113" w:right="113"/>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Cn</w:t>
            </w:r>
            <w:proofErr w:type="spellEnd"/>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Raewyn</w:t>
            </w:r>
            <w:proofErr w:type="spellEnd"/>
            <w:r w:rsidRPr="007D230E">
              <w:rPr>
                <w:rFonts w:ascii="Arial" w:hAnsi="Arial" w:cs="Arial"/>
                <w:sz w:val="16"/>
                <w:szCs w:val="16"/>
              </w:rPr>
              <w:t xml:space="preserve"> </w:t>
            </w:r>
            <w:proofErr w:type="spellStart"/>
            <w:r w:rsidRPr="007D230E">
              <w:rPr>
                <w:rFonts w:ascii="Arial" w:hAnsi="Arial" w:cs="Arial"/>
                <w:sz w:val="16"/>
                <w:szCs w:val="16"/>
              </w:rPr>
              <w:t>Idoine</w:t>
            </w:r>
            <w:proofErr w:type="spellEnd"/>
            <w:r w:rsidRPr="007D230E">
              <w:rPr>
                <w:rFonts w:ascii="Arial" w:hAnsi="Arial" w:cs="Arial"/>
                <w:sz w:val="16"/>
                <w:szCs w:val="16"/>
              </w:rPr>
              <w:t xml:space="preserve"> (Co-Opted from STH HDEC)</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9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07" w:type="pct"/>
            <w:shd w:val="clear" w:color="auto" w:fill="FFFFFF" w:themeFill="background1"/>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1/1</w:t>
            </w:r>
          </w:p>
        </w:tc>
      </w:tr>
      <w:tr w:rsidR="007D230E" w:rsidRPr="007D230E" w:rsidTr="007D230E">
        <w:trPr>
          <w:gridAfter w:val="1"/>
          <w:wAfter w:w="7" w:type="pct"/>
          <w:trHeight w:val="524"/>
        </w:trPr>
        <w:tc>
          <w:tcPr>
            <w:tcW w:w="274" w:type="pct"/>
            <w:vMerge w:val="restart"/>
            <w:textDirection w:val="btLr"/>
            <w:vAlign w:val="center"/>
          </w:tcPr>
          <w:p w:rsidR="00CB09C3" w:rsidRPr="007D230E" w:rsidRDefault="00CB09C3" w:rsidP="00445A67">
            <w:pPr>
              <w:ind w:left="113" w:right="113"/>
              <w:jc w:val="center"/>
              <w:rPr>
                <w:rFonts w:ascii="Arial" w:hAnsi="Arial" w:cs="Arial"/>
                <w:sz w:val="16"/>
                <w:szCs w:val="16"/>
              </w:rPr>
            </w:pPr>
            <w:r w:rsidRPr="007D230E">
              <w:rPr>
                <w:rFonts w:ascii="Arial" w:hAnsi="Arial" w:cs="Arial"/>
                <w:sz w:val="16"/>
                <w:szCs w:val="16"/>
              </w:rPr>
              <w:t>Non-lay members</w:t>
            </w: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HR</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Mrs</w:t>
            </w:r>
            <w:proofErr w:type="spellEnd"/>
            <w:r w:rsidRPr="007D230E">
              <w:rPr>
                <w:rFonts w:ascii="Arial" w:hAnsi="Arial" w:cs="Arial"/>
                <w:sz w:val="16"/>
                <w:szCs w:val="16"/>
              </w:rPr>
              <w:t xml:space="preserve"> Stephanie Pollard</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9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0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7/9</w:t>
            </w:r>
          </w:p>
        </w:tc>
      </w:tr>
      <w:tr w:rsidR="007D230E" w:rsidRPr="007D230E" w:rsidTr="007D230E">
        <w:trPr>
          <w:gridAfter w:val="1"/>
          <w:wAfter w:w="7" w:type="pct"/>
          <w:trHeight w:val="217"/>
        </w:trPr>
        <w:tc>
          <w:tcPr>
            <w:tcW w:w="274" w:type="pct"/>
            <w:vMerge/>
            <w:vAlign w:val="center"/>
          </w:tcPr>
          <w:p w:rsidR="00CB09C3" w:rsidRPr="007D230E" w:rsidRDefault="00CB09C3" w:rsidP="00445A67">
            <w:pPr>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HR</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Ms</w:t>
            </w:r>
            <w:proofErr w:type="spellEnd"/>
            <w:r w:rsidRPr="007D230E">
              <w:rPr>
                <w:rFonts w:ascii="Arial" w:hAnsi="Arial" w:cs="Arial"/>
                <w:sz w:val="16"/>
                <w:szCs w:val="16"/>
              </w:rPr>
              <w:t xml:space="preserve"> </w:t>
            </w:r>
            <w:proofErr w:type="spellStart"/>
            <w:r w:rsidRPr="007D230E">
              <w:rPr>
                <w:rFonts w:ascii="Arial" w:hAnsi="Arial" w:cs="Arial"/>
                <w:sz w:val="16"/>
                <w:szCs w:val="16"/>
              </w:rPr>
              <w:t>Kerin</w:t>
            </w:r>
            <w:proofErr w:type="spellEnd"/>
            <w:r w:rsidRPr="007D230E">
              <w:rPr>
                <w:rFonts w:ascii="Arial" w:hAnsi="Arial" w:cs="Arial"/>
                <w:sz w:val="16"/>
                <w:szCs w:val="16"/>
              </w:rPr>
              <w:t xml:space="preserve"> Thompson</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i/>
                <w:color w:val="FF6600"/>
                <w:sz w:val="16"/>
                <w:szCs w:val="16"/>
              </w:rPr>
              <w:t>A</w:t>
            </w: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9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0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2/9</w:t>
            </w:r>
          </w:p>
        </w:tc>
      </w:tr>
      <w:tr w:rsidR="007D230E" w:rsidRPr="007D230E" w:rsidTr="007D230E">
        <w:trPr>
          <w:gridAfter w:val="1"/>
          <w:wAfter w:w="7" w:type="pct"/>
          <w:trHeight w:val="377"/>
        </w:trPr>
        <w:tc>
          <w:tcPr>
            <w:tcW w:w="274" w:type="pct"/>
            <w:vMerge/>
            <w:vAlign w:val="center"/>
          </w:tcPr>
          <w:p w:rsidR="00CB09C3" w:rsidRPr="007D230E" w:rsidRDefault="00CB09C3" w:rsidP="00445A67">
            <w:pPr>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HP</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Dr</w:t>
            </w:r>
            <w:proofErr w:type="spellEnd"/>
            <w:r w:rsidRPr="007D230E">
              <w:rPr>
                <w:rFonts w:ascii="Arial" w:hAnsi="Arial" w:cs="Arial"/>
                <w:sz w:val="16"/>
                <w:szCs w:val="16"/>
              </w:rPr>
              <w:t xml:space="preserve"> Paul </w:t>
            </w:r>
            <w:proofErr w:type="spellStart"/>
            <w:r w:rsidRPr="007D230E">
              <w:rPr>
                <w:rFonts w:ascii="Arial" w:hAnsi="Arial" w:cs="Arial"/>
                <w:sz w:val="16"/>
                <w:szCs w:val="16"/>
              </w:rPr>
              <w:t>Tanser</w:t>
            </w:r>
            <w:proofErr w:type="spellEnd"/>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9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0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5/9</w:t>
            </w:r>
          </w:p>
        </w:tc>
      </w:tr>
      <w:tr w:rsidR="007D230E" w:rsidRPr="007D230E" w:rsidTr="007D230E">
        <w:trPr>
          <w:gridAfter w:val="1"/>
          <w:wAfter w:w="7" w:type="pct"/>
          <w:trHeight w:val="266"/>
        </w:trPr>
        <w:tc>
          <w:tcPr>
            <w:tcW w:w="274" w:type="pct"/>
            <w:vMerge/>
            <w:vAlign w:val="center"/>
          </w:tcPr>
          <w:p w:rsidR="00CB09C3" w:rsidRPr="007D230E" w:rsidRDefault="00CB09C3" w:rsidP="00445A67">
            <w:pPr>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HR</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Mrs</w:t>
            </w:r>
            <w:proofErr w:type="spellEnd"/>
            <w:r w:rsidRPr="007D230E">
              <w:rPr>
                <w:rFonts w:ascii="Arial" w:hAnsi="Arial" w:cs="Arial"/>
                <w:sz w:val="16"/>
                <w:szCs w:val="16"/>
              </w:rPr>
              <w:t xml:space="preserve"> Kate O’Connor</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78"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9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07"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9/9</w:t>
            </w:r>
          </w:p>
        </w:tc>
      </w:tr>
      <w:tr w:rsidR="007D230E" w:rsidRPr="007D230E" w:rsidTr="007D230E">
        <w:trPr>
          <w:gridAfter w:val="1"/>
          <w:wAfter w:w="7" w:type="pct"/>
          <w:trHeight w:val="266"/>
        </w:trPr>
        <w:tc>
          <w:tcPr>
            <w:tcW w:w="274" w:type="pct"/>
            <w:vAlign w:val="center"/>
          </w:tcPr>
          <w:p w:rsidR="00CB09C3" w:rsidRPr="007D230E" w:rsidRDefault="00CB09C3" w:rsidP="00445A67">
            <w:pPr>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HR</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Patries</w:t>
            </w:r>
            <w:proofErr w:type="spellEnd"/>
            <w:r w:rsidRPr="007D230E">
              <w:rPr>
                <w:rFonts w:ascii="Arial" w:hAnsi="Arial" w:cs="Arial"/>
                <w:sz w:val="16"/>
                <w:szCs w:val="16"/>
              </w:rPr>
              <w:t xml:space="preserve"> </w:t>
            </w:r>
            <w:proofErr w:type="spellStart"/>
            <w:r w:rsidRPr="007D230E">
              <w:rPr>
                <w:rFonts w:ascii="Arial" w:hAnsi="Arial" w:cs="Arial"/>
                <w:sz w:val="16"/>
                <w:szCs w:val="16"/>
              </w:rPr>
              <w:t>Herst</w:t>
            </w:r>
            <w:proofErr w:type="spellEnd"/>
            <w:r w:rsidRPr="007D230E">
              <w:rPr>
                <w:rFonts w:ascii="Arial" w:hAnsi="Arial" w:cs="Arial"/>
                <w:sz w:val="16"/>
                <w:szCs w:val="16"/>
              </w:rPr>
              <w:t xml:space="preserve"> (Co-Opted from CEN HDEC)</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9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0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1/1</w:t>
            </w:r>
          </w:p>
        </w:tc>
      </w:tr>
      <w:tr w:rsidR="007D230E" w:rsidRPr="007D230E" w:rsidTr="007D230E">
        <w:trPr>
          <w:gridAfter w:val="1"/>
          <w:wAfter w:w="7" w:type="pct"/>
          <w:trHeight w:val="266"/>
        </w:trPr>
        <w:tc>
          <w:tcPr>
            <w:tcW w:w="274" w:type="pct"/>
            <w:vAlign w:val="center"/>
          </w:tcPr>
          <w:p w:rsidR="00CB09C3" w:rsidRPr="007D230E" w:rsidRDefault="00CB09C3" w:rsidP="00445A67">
            <w:pPr>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HP</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Shamim</w:t>
            </w:r>
            <w:proofErr w:type="spellEnd"/>
            <w:r w:rsidRPr="007D230E">
              <w:rPr>
                <w:rFonts w:ascii="Arial" w:hAnsi="Arial" w:cs="Arial"/>
                <w:sz w:val="16"/>
                <w:szCs w:val="16"/>
              </w:rPr>
              <w:t xml:space="preserve"> </w:t>
            </w:r>
            <w:proofErr w:type="spellStart"/>
            <w:r w:rsidRPr="007D230E">
              <w:rPr>
                <w:rFonts w:ascii="Arial" w:hAnsi="Arial" w:cs="Arial"/>
                <w:sz w:val="16"/>
                <w:szCs w:val="16"/>
              </w:rPr>
              <w:t>Chagani</w:t>
            </w:r>
            <w:proofErr w:type="spellEnd"/>
            <w:r w:rsidRPr="007D230E">
              <w:rPr>
                <w:rFonts w:ascii="Arial" w:hAnsi="Arial" w:cs="Arial"/>
                <w:sz w:val="16"/>
                <w:szCs w:val="16"/>
              </w:rPr>
              <w:t xml:space="preserve"> (Co-Opted from NTA HDEC)</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90" w:type="pct"/>
            <w:shd w:val="clear" w:color="auto" w:fill="FFFFFF" w:themeFill="background1"/>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30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2/2</w:t>
            </w:r>
          </w:p>
        </w:tc>
      </w:tr>
      <w:tr w:rsidR="007D230E" w:rsidRPr="007D230E" w:rsidTr="007D230E">
        <w:trPr>
          <w:gridAfter w:val="1"/>
          <w:wAfter w:w="7" w:type="pct"/>
          <w:trHeight w:val="266"/>
        </w:trPr>
        <w:tc>
          <w:tcPr>
            <w:tcW w:w="274" w:type="pct"/>
            <w:vAlign w:val="center"/>
          </w:tcPr>
          <w:p w:rsidR="00CB09C3" w:rsidRPr="007D230E" w:rsidRDefault="00CB09C3" w:rsidP="00445A67">
            <w:pPr>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HR</w:t>
            </w:r>
          </w:p>
        </w:tc>
        <w:tc>
          <w:tcPr>
            <w:tcW w:w="610" w:type="pct"/>
            <w:vAlign w:val="center"/>
          </w:tcPr>
          <w:p w:rsidR="00CB09C3" w:rsidRPr="007D230E" w:rsidRDefault="00CB09C3" w:rsidP="00445A67">
            <w:pPr>
              <w:jc w:val="center"/>
              <w:rPr>
                <w:rFonts w:ascii="Arial" w:hAnsi="Arial" w:cs="Arial"/>
                <w:sz w:val="16"/>
                <w:szCs w:val="16"/>
              </w:rPr>
            </w:pPr>
            <w:proofErr w:type="spellStart"/>
            <w:r w:rsidRPr="007D230E">
              <w:rPr>
                <w:rFonts w:ascii="Arial" w:hAnsi="Arial" w:cs="Arial"/>
                <w:sz w:val="16"/>
                <w:szCs w:val="16"/>
              </w:rPr>
              <w:t>Devonie</w:t>
            </w:r>
            <w:proofErr w:type="spellEnd"/>
            <w:r w:rsidRPr="007D230E">
              <w:rPr>
                <w:rFonts w:ascii="Arial" w:hAnsi="Arial" w:cs="Arial"/>
                <w:sz w:val="16"/>
                <w:szCs w:val="16"/>
              </w:rPr>
              <w:t xml:space="preserve"> </w:t>
            </w:r>
            <w:proofErr w:type="spellStart"/>
            <w:r w:rsidRPr="007D230E">
              <w:rPr>
                <w:rFonts w:ascii="Arial" w:hAnsi="Arial" w:cs="Arial"/>
                <w:sz w:val="16"/>
                <w:szCs w:val="16"/>
              </w:rPr>
              <w:t>Eglington</w:t>
            </w:r>
            <w:proofErr w:type="spellEnd"/>
            <w:r w:rsidRPr="007D230E">
              <w:rPr>
                <w:rFonts w:ascii="Arial" w:hAnsi="Arial" w:cs="Arial"/>
                <w:sz w:val="16"/>
                <w:szCs w:val="16"/>
              </w:rPr>
              <w:t xml:space="preserve"> (Co-Opted from STH HDEC)</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9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07" w:type="pct"/>
            <w:shd w:val="clear" w:color="auto" w:fill="FFFFFF" w:themeFill="background1"/>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1/1</w:t>
            </w:r>
          </w:p>
        </w:tc>
      </w:tr>
      <w:tr w:rsidR="007D230E" w:rsidRPr="007D230E" w:rsidTr="007D230E">
        <w:trPr>
          <w:gridAfter w:val="1"/>
          <w:wAfter w:w="7" w:type="pct"/>
          <w:trHeight w:val="266"/>
        </w:trPr>
        <w:tc>
          <w:tcPr>
            <w:tcW w:w="274" w:type="pct"/>
            <w:vAlign w:val="center"/>
          </w:tcPr>
          <w:p w:rsidR="00CB09C3" w:rsidRPr="007D230E" w:rsidRDefault="00CB09C3" w:rsidP="00445A67">
            <w:pPr>
              <w:jc w:val="center"/>
              <w:rPr>
                <w:rFonts w:ascii="Arial" w:hAnsi="Arial" w:cs="Arial"/>
                <w:sz w:val="16"/>
                <w:szCs w:val="16"/>
              </w:rPr>
            </w:pPr>
          </w:p>
        </w:tc>
        <w:tc>
          <w:tcPr>
            <w:tcW w:w="26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HP</w:t>
            </w:r>
          </w:p>
        </w:tc>
        <w:tc>
          <w:tcPr>
            <w:tcW w:w="610" w:type="pct"/>
            <w:vAlign w:val="center"/>
          </w:tcPr>
          <w:p w:rsidR="00CB09C3" w:rsidRPr="007D230E" w:rsidRDefault="00CB09C3" w:rsidP="00445A67">
            <w:pPr>
              <w:jc w:val="center"/>
              <w:rPr>
                <w:rFonts w:ascii="Arial" w:hAnsi="Arial" w:cs="Arial"/>
                <w:sz w:val="16"/>
                <w:szCs w:val="16"/>
              </w:rPr>
            </w:pPr>
            <w:r w:rsidRPr="007D230E">
              <w:rPr>
                <w:rFonts w:ascii="Arial" w:hAnsi="Arial" w:cs="Arial"/>
                <w:sz w:val="16"/>
                <w:szCs w:val="16"/>
              </w:rPr>
              <w:t>Nora Lynch</w:t>
            </w:r>
          </w:p>
        </w:tc>
        <w:tc>
          <w:tcPr>
            <w:tcW w:w="26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7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94"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1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83"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90"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07"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260"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3" w:type="pct"/>
            <w:shd w:val="clear" w:color="auto" w:fill="auto"/>
            <w:vAlign w:val="center"/>
          </w:tcPr>
          <w:p w:rsidR="00CB09C3" w:rsidRPr="007D230E" w:rsidRDefault="00CB09C3" w:rsidP="00445A67">
            <w:pPr>
              <w:jc w:val="center"/>
              <w:rPr>
                <w:rFonts w:ascii="Arial" w:hAnsi="Arial" w:cs="Arial"/>
                <w:sz w:val="16"/>
                <w:szCs w:val="16"/>
              </w:rPr>
            </w:pPr>
            <w:r w:rsidRPr="007D230E">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CB09C3" w:rsidRPr="007D230E" w:rsidRDefault="00CB09C3" w:rsidP="00445A67">
            <w:pPr>
              <w:jc w:val="center"/>
              <w:rPr>
                <w:rFonts w:ascii="Arial" w:hAnsi="Arial" w:cs="Arial"/>
                <w:sz w:val="16"/>
                <w:szCs w:val="16"/>
              </w:rPr>
            </w:pPr>
          </w:p>
        </w:tc>
        <w:tc>
          <w:tcPr>
            <w:tcW w:w="341" w:type="pct"/>
            <w:gridSpan w:val="2"/>
            <w:shd w:val="clear" w:color="auto" w:fill="auto"/>
            <w:vAlign w:val="center"/>
          </w:tcPr>
          <w:p w:rsidR="00CB09C3" w:rsidRPr="007D230E" w:rsidRDefault="001B4702" w:rsidP="00445A67">
            <w:pPr>
              <w:jc w:val="center"/>
              <w:rPr>
                <w:rFonts w:ascii="Arial" w:hAnsi="Arial" w:cs="Arial"/>
                <w:sz w:val="16"/>
                <w:szCs w:val="16"/>
              </w:rPr>
            </w:pPr>
            <w:r>
              <w:rPr>
                <w:rFonts w:ascii="Arial" w:hAnsi="Arial" w:cs="Arial"/>
                <w:sz w:val="16"/>
                <w:szCs w:val="16"/>
              </w:rPr>
              <w:t>2/3</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CB09C3" w:rsidRPr="007D230E" w:rsidTr="00AB65CE">
        <w:tc>
          <w:tcPr>
            <w:tcW w:w="675" w:type="dxa"/>
            <w:shd w:val="clear" w:color="auto" w:fill="auto"/>
          </w:tcPr>
          <w:p w:rsidR="00CB09C3" w:rsidRPr="007D230E" w:rsidRDefault="00CB09C3" w:rsidP="00445A67">
            <w:pPr>
              <w:tabs>
                <w:tab w:val="left" w:pos="900"/>
                <w:tab w:val="left" w:pos="2700"/>
                <w:tab w:val="left" w:pos="4680"/>
              </w:tabs>
              <w:rPr>
                <w:rFonts w:cs="Arial"/>
                <w:b/>
                <w:color w:val="339966"/>
                <w:sz w:val="16"/>
                <w:szCs w:val="16"/>
              </w:rPr>
            </w:pPr>
            <w:r w:rsidRPr="007D230E">
              <w:rPr>
                <w:rFonts w:cs="Arial"/>
                <w:sz w:val="16"/>
                <w:szCs w:val="16"/>
              </w:rPr>
              <w:t>Key:</w:t>
            </w:r>
          </w:p>
        </w:tc>
        <w:tc>
          <w:tcPr>
            <w:tcW w:w="465" w:type="dxa"/>
            <w:shd w:val="clear" w:color="auto" w:fill="auto"/>
          </w:tcPr>
          <w:p w:rsidR="00CB09C3" w:rsidRPr="007D230E" w:rsidRDefault="00CB09C3" w:rsidP="00445A67">
            <w:pPr>
              <w:tabs>
                <w:tab w:val="left" w:pos="900"/>
                <w:tab w:val="left" w:pos="2700"/>
                <w:tab w:val="left" w:pos="4680"/>
              </w:tabs>
              <w:jc w:val="center"/>
              <w:rPr>
                <w:rFonts w:cs="Arial"/>
                <w:sz w:val="16"/>
                <w:szCs w:val="16"/>
              </w:rPr>
            </w:pPr>
            <w:r w:rsidRPr="007D230E">
              <w:rPr>
                <w:rFonts w:cs="Arial"/>
                <w:sz w:val="16"/>
                <w:szCs w:val="16"/>
              </w:rPr>
              <w:t>L</w:t>
            </w:r>
          </w:p>
        </w:tc>
        <w:tc>
          <w:tcPr>
            <w:tcW w:w="2852"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Lawyer</w:t>
            </w:r>
          </w:p>
        </w:tc>
        <w:tc>
          <w:tcPr>
            <w:tcW w:w="448" w:type="dxa"/>
            <w:shd w:val="clear" w:color="auto" w:fill="auto"/>
          </w:tcPr>
          <w:p w:rsidR="00CB09C3" w:rsidRPr="007D230E" w:rsidRDefault="00CB09C3" w:rsidP="00445A67">
            <w:pPr>
              <w:tabs>
                <w:tab w:val="left" w:pos="900"/>
                <w:tab w:val="left" w:pos="2700"/>
                <w:tab w:val="left" w:pos="4680"/>
              </w:tabs>
              <w:jc w:val="center"/>
              <w:rPr>
                <w:rFonts w:cs="Arial"/>
                <w:sz w:val="16"/>
                <w:szCs w:val="16"/>
              </w:rPr>
            </w:pPr>
            <w:r w:rsidRPr="007D230E">
              <w:rPr>
                <w:rFonts w:cs="Arial"/>
                <w:sz w:val="16"/>
                <w:szCs w:val="16"/>
              </w:rPr>
              <w:t>P</w:t>
            </w:r>
          </w:p>
        </w:tc>
        <w:tc>
          <w:tcPr>
            <w:tcW w:w="2931"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Pharmacist/pharmacologist</w:t>
            </w:r>
          </w:p>
        </w:tc>
        <w:tc>
          <w:tcPr>
            <w:tcW w:w="392" w:type="dxa"/>
            <w:shd w:val="clear" w:color="auto" w:fill="auto"/>
            <w:vAlign w:val="center"/>
          </w:tcPr>
          <w:p w:rsidR="00CB09C3" w:rsidRPr="007D230E" w:rsidRDefault="00CB09C3" w:rsidP="00445A67">
            <w:pPr>
              <w:tabs>
                <w:tab w:val="left" w:pos="900"/>
                <w:tab w:val="left" w:pos="2700"/>
                <w:tab w:val="left" w:pos="4680"/>
              </w:tabs>
              <w:jc w:val="center"/>
              <w:rPr>
                <w:rFonts w:cs="Arial"/>
                <w:sz w:val="16"/>
                <w:szCs w:val="16"/>
              </w:rPr>
            </w:pPr>
            <w:r w:rsidRPr="007D230E">
              <w:rPr>
                <w:rFonts w:cs="Arial"/>
                <w:b/>
                <w:color w:val="339966"/>
                <w:sz w:val="16"/>
                <w:szCs w:val="16"/>
              </w:rPr>
              <w:sym w:font="Wingdings" w:char="F0FC"/>
            </w:r>
          </w:p>
        </w:tc>
        <w:tc>
          <w:tcPr>
            <w:tcW w:w="1293"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present</w:t>
            </w:r>
          </w:p>
        </w:tc>
      </w:tr>
      <w:tr w:rsidR="00CB09C3" w:rsidRPr="007D230E" w:rsidTr="00AB65CE">
        <w:tc>
          <w:tcPr>
            <w:tcW w:w="675" w:type="dxa"/>
            <w:shd w:val="clear" w:color="auto" w:fill="auto"/>
          </w:tcPr>
          <w:p w:rsidR="00CB09C3" w:rsidRPr="007D230E" w:rsidRDefault="00CB09C3" w:rsidP="00445A67">
            <w:pPr>
              <w:tabs>
                <w:tab w:val="left" w:pos="900"/>
                <w:tab w:val="left" w:pos="2700"/>
                <w:tab w:val="left" w:pos="4680"/>
              </w:tabs>
              <w:rPr>
                <w:rFonts w:cs="Arial"/>
                <w:b/>
                <w:i/>
                <w:color w:val="FF6600"/>
                <w:sz w:val="16"/>
                <w:szCs w:val="16"/>
              </w:rPr>
            </w:pPr>
          </w:p>
        </w:tc>
        <w:tc>
          <w:tcPr>
            <w:tcW w:w="465" w:type="dxa"/>
            <w:shd w:val="clear" w:color="auto" w:fill="auto"/>
          </w:tcPr>
          <w:p w:rsidR="00CB09C3" w:rsidRPr="007D230E" w:rsidRDefault="00CB09C3" w:rsidP="00445A67">
            <w:pPr>
              <w:tabs>
                <w:tab w:val="left" w:pos="900"/>
                <w:tab w:val="left" w:pos="2700"/>
                <w:tab w:val="left" w:pos="4680"/>
              </w:tabs>
              <w:jc w:val="center"/>
              <w:rPr>
                <w:rFonts w:cs="Arial"/>
                <w:sz w:val="16"/>
                <w:szCs w:val="16"/>
              </w:rPr>
            </w:pPr>
            <w:r w:rsidRPr="007D230E">
              <w:rPr>
                <w:rFonts w:cs="Arial"/>
                <w:sz w:val="16"/>
                <w:szCs w:val="16"/>
              </w:rPr>
              <w:t>E</w:t>
            </w:r>
          </w:p>
        </w:tc>
        <w:tc>
          <w:tcPr>
            <w:tcW w:w="2852"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Ethicist</w:t>
            </w:r>
          </w:p>
        </w:tc>
        <w:tc>
          <w:tcPr>
            <w:tcW w:w="448" w:type="dxa"/>
            <w:shd w:val="clear" w:color="auto" w:fill="auto"/>
          </w:tcPr>
          <w:p w:rsidR="00CB09C3" w:rsidRPr="007D230E" w:rsidRDefault="00CB09C3" w:rsidP="00445A67">
            <w:pPr>
              <w:tabs>
                <w:tab w:val="left" w:pos="900"/>
                <w:tab w:val="left" w:pos="2700"/>
                <w:tab w:val="left" w:pos="4680"/>
              </w:tabs>
              <w:jc w:val="center"/>
              <w:rPr>
                <w:rFonts w:cs="Arial"/>
                <w:sz w:val="16"/>
                <w:szCs w:val="16"/>
              </w:rPr>
            </w:pPr>
            <w:r w:rsidRPr="007D230E">
              <w:rPr>
                <w:rFonts w:cs="Arial"/>
                <w:sz w:val="16"/>
                <w:szCs w:val="16"/>
              </w:rPr>
              <w:t>B</w:t>
            </w:r>
          </w:p>
        </w:tc>
        <w:tc>
          <w:tcPr>
            <w:tcW w:w="2931"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Biostatistician</w:t>
            </w:r>
          </w:p>
        </w:tc>
        <w:tc>
          <w:tcPr>
            <w:tcW w:w="392" w:type="dxa"/>
            <w:shd w:val="clear" w:color="auto" w:fill="auto"/>
            <w:vAlign w:val="center"/>
          </w:tcPr>
          <w:p w:rsidR="00CB09C3" w:rsidRPr="007D230E" w:rsidRDefault="00CB09C3" w:rsidP="00445A67">
            <w:pPr>
              <w:tabs>
                <w:tab w:val="left" w:pos="900"/>
                <w:tab w:val="left" w:pos="2700"/>
                <w:tab w:val="left" w:pos="4680"/>
              </w:tabs>
              <w:jc w:val="center"/>
              <w:rPr>
                <w:rFonts w:cs="Arial"/>
                <w:sz w:val="16"/>
                <w:szCs w:val="16"/>
              </w:rPr>
            </w:pPr>
            <w:r w:rsidRPr="007D230E">
              <w:rPr>
                <w:rFonts w:cs="Arial"/>
                <w:b/>
                <w:i/>
                <w:color w:val="FF6600"/>
                <w:sz w:val="16"/>
                <w:szCs w:val="16"/>
              </w:rPr>
              <w:t>A</w:t>
            </w:r>
          </w:p>
        </w:tc>
        <w:tc>
          <w:tcPr>
            <w:tcW w:w="1293"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apologies</w:t>
            </w:r>
          </w:p>
        </w:tc>
      </w:tr>
      <w:tr w:rsidR="00CB09C3" w:rsidRPr="007D230E" w:rsidTr="00AB65CE">
        <w:tc>
          <w:tcPr>
            <w:tcW w:w="675" w:type="dxa"/>
            <w:shd w:val="clear" w:color="auto" w:fill="auto"/>
          </w:tcPr>
          <w:p w:rsidR="00CB09C3" w:rsidRPr="007D230E" w:rsidRDefault="00CB09C3" w:rsidP="00445A67">
            <w:pPr>
              <w:tabs>
                <w:tab w:val="left" w:pos="900"/>
                <w:tab w:val="left" w:pos="2700"/>
                <w:tab w:val="left" w:pos="4680"/>
              </w:tabs>
              <w:rPr>
                <w:rFonts w:cs="Arial"/>
                <w:b/>
                <w:color w:val="FFFFFF"/>
                <w:sz w:val="16"/>
                <w:szCs w:val="16"/>
                <w:highlight w:val="red"/>
              </w:rPr>
            </w:pPr>
          </w:p>
        </w:tc>
        <w:tc>
          <w:tcPr>
            <w:tcW w:w="465" w:type="dxa"/>
            <w:shd w:val="clear" w:color="auto" w:fill="FFFFFF"/>
          </w:tcPr>
          <w:p w:rsidR="00CB09C3" w:rsidRPr="007D230E" w:rsidRDefault="00CB09C3" w:rsidP="00445A67">
            <w:pPr>
              <w:tabs>
                <w:tab w:val="left" w:pos="900"/>
                <w:tab w:val="left" w:pos="2700"/>
                <w:tab w:val="left" w:pos="4680"/>
              </w:tabs>
              <w:jc w:val="center"/>
              <w:rPr>
                <w:rFonts w:cs="Arial"/>
                <w:sz w:val="16"/>
                <w:szCs w:val="16"/>
              </w:rPr>
            </w:pPr>
            <w:r w:rsidRPr="007D230E">
              <w:rPr>
                <w:rFonts w:cs="Arial"/>
                <w:sz w:val="16"/>
                <w:szCs w:val="16"/>
              </w:rPr>
              <w:t>Cm</w:t>
            </w:r>
          </w:p>
        </w:tc>
        <w:tc>
          <w:tcPr>
            <w:tcW w:w="2852" w:type="dxa"/>
            <w:shd w:val="clear" w:color="auto" w:fill="FFFFFF"/>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Community representative</w:t>
            </w:r>
          </w:p>
        </w:tc>
        <w:tc>
          <w:tcPr>
            <w:tcW w:w="448" w:type="dxa"/>
            <w:shd w:val="clear" w:color="auto" w:fill="FFFFFF"/>
          </w:tcPr>
          <w:p w:rsidR="00CB09C3" w:rsidRPr="007D230E" w:rsidRDefault="00CB09C3" w:rsidP="00445A67">
            <w:pPr>
              <w:tabs>
                <w:tab w:val="left" w:pos="900"/>
                <w:tab w:val="left" w:pos="2700"/>
                <w:tab w:val="left" w:pos="4680"/>
              </w:tabs>
              <w:jc w:val="center"/>
              <w:rPr>
                <w:rFonts w:cs="Arial"/>
                <w:sz w:val="16"/>
                <w:szCs w:val="16"/>
              </w:rPr>
            </w:pPr>
            <w:r w:rsidRPr="007D230E">
              <w:rPr>
                <w:rFonts w:cs="Arial"/>
                <w:sz w:val="16"/>
                <w:szCs w:val="16"/>
              </w:rPr>
              <w:t>HP</w:t>
            </w:r>
          </w:p>
        </w:tc>
        <w:tc>
          <w:tcPr>
            <w:tcW w:w="2931" w:type="dxa"/>
            <w:shd w:val="clear" w:color="auto" w:fill="FFFFFF"/>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Health practitioner</w:t>
            </w:r>
          </w:p>
        </w:tc>
        <w:tc>
          <w:tcPr>
            <w:tcW w:w="392" w:type="dxa"/>
            <w:shd w:val="clear" w:color="auto" w:fill="FFFFFF"/>
            <w:vAlign w:val="center"/>
          </w:tcPr>
          <w:p w:rsidR="00CB09C3" w:rsidRPr="007D230E" w:rsidRDefault="00CB09C3" w:rsidP="00445A67">
            <w:pPr>
              <w:tabs>
                <w:tab w:val="left" w:pos="900"/>
                <w:tab w:val="left" w:pos="2700"/>
                <w:tab w:val="left" w:pos="4680"/>
              </w:tabs>
              <w:jc w:val="center"/>
              <w:rPr>
                <w:rFonts w:cs="Arial"/>
                <w:color w:val="FF0000"/>
                <w:sz w:val="16"/>
                <w:szCs w:val="16"/>
                <w:highlight w:val="red"/>
              </w:rPr>
            </w:pPr>
            <w:r w:rsidRPr="007D230E">
              <w:rPr>
                <w:rFonts w:cs="Arial"/>
                <w:b/>
                <w:color w:val="FF0000"/>
                <w:sz w:val="16"/>
                <w:szCs w:val="16"/>
              </w:rPr>
              <w:t>X</w:t>
            </w:r>
          </w:p>
        </w:tc>
        <w:tc>
          <w:tcPr>
            <w:tcW w:w="1293"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absent</w:t>
            </w:r>
          </w:p>
        </w:tc>
      </w:tr>
      <w:tr w:rsidR="00CB09C3" w:rsidRPr="007D230E" w:rsidTr="00AB65CE">
        <w:tc>
          <w:tcPr>
            <w:tcW w:w="675" w:type="dxa"/>
            <w:shd w:val="clear" w:color="auto" w:fill="auto"/>
          </w:tcPr>
          <w:p w:rsidR="00CB09C3" w:rsidRPr="007D230E" w:rsidRDefault="00CB09C3" w:rsidP="00445A67">
            <w:pPr>
              <w:tabs>
                <w:tab w:val="left" w:pos="900"/>
                <w:tab w:val="left" w:pos="2700"/>
                <w:tab w:val="left" w:pos="4680"/>
              </w:tabs>
              <w:rPr>
                <w:rFonts w:cs="Arial"/>
                <w:sz w:val="16"/>
                <w:szCs w:val="16"/>
              </w:rPr>
            </w:pPr>
          </w:p>
        </w:tc>
        <w:tc>
          <w:tcPr>
            <w:tcW w:w="465" w:type="dxa"/>
            <w:shd w:val="clear" w:color="auto" w:fill="auto"/>
          </w:tcPr>
          <w:p w:rsidR="00CB09C3" w:rsidRPr="007D230E" w:rsidRDefault="00CB09C3" w:rsidP="00445A67">
            <w:pPr>
              <w:tabs>
                <w:tab w:val="left" w:pos="900"/>
                <w:tab w:val="left" w:pos="2700"/>
                <w:tab w:val="left" w:pos="4680"/>
              </w:tabs>
              <w:jc w:val="center"/>
              <w:rPr>
                <w:rFonts w:cs="Arial"/>
                <w:sz w:val="16"/>
                <w:szCs w:val="16"/>
              </w:rPr>
            </w:pPr>
            <w:proofErr w:type="spellStart"/>
            <w:r w:rsidRPr="007D230E">
              <w:rPr>
                <w:rFonts w:cs="Arial"/>
                <w:sz w:val="16"/>
                <w:szCs w:val="16"/>
              </w:rPr>
              <w:t>Cn</w:t>
            </w:r>
            <w:proofErr w:type="spellEnd"/>
          </w:p>
        </w:tc>
        <w:tc>
          <w:tcPr>
            <w:tcW w:w="2852"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Consumer representative</w:t>
            </w:r>
          </w:p>
        </w:tc>
        <w:tc>
          <w:tcPr>
            <w:tcW w:w="448" w:type="dxa"/>
            <w:shd w:val="clear" w:color="auto" w:fill="auto"/>
          </w:tcPr>
          <w:p w:rsidR="00CB09C3" w:rsidRPr="007D230E" w:rsidRDefault="00CB09C3" w:rsidP="00445A67">
            <w:pPr>
              <w:tabs>
                <w:tab w:val="left" w:pos="900"/>
                <w:tab w:val="left" w:pos="2700"/>
                <w:tab w:val="left" w:pos="4680"/>
              </w:tabs>
              <w:jc w:val="center"/>
              <w:rPr>
                <w:rFonts w:cs="Arial"/>
                <w:sz w:val="16"/>
                <w:szCs w:val="16"/>
              </w:rPr>
            </w:pPr>
            <w:r w:rsidRPr="007D230E">
              <w:rPr>
                <w:rFonts w:cs="Arial"/>
                <w:sz w:val="16"/>
                <w:szCs w:val="16"/>
              </w:rPr>
              <w:t>HR</w:t>
            </w:r>
          </w:p>
        </w:tc>
        <w:tc>
          <w:tcPr>
            <w:tcW w:w="2931"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Health researcher</w:t>
            </w:r>
          </w:p>
        </w:tc>
        <w:tc>
          <w:tcPr>
            <w:tcW w:w="392" w:type="dxa"/>
            <w:shd w:val="clear" w:color="auto" w:fill="D9D9D9"/>
            <w:vAlign w:val="center"/>
          </w:tcPr>
          <w:p w:rsidR="00CB09C3" w:rsidRPr="007D230E" w:rsidRDefault="00CB09C3" w:rsidP="00445A67">
            <w:pPr>
              <w:tabs>
                <w:tab w:val="left" w:pos="900"/>
                <w:tab w:val="left" w:pos="2700"/>
                <w:tab w:val="left" w:pos="4680"/>
              </w:tabs>
              <w:jc w:val="center"/>
              <w:rPr>
                <w:rFonts w:cs="Arial"/>
                <w:sz w:val="16"/>
                <w:szCs w:val="16"/>
              </w:rPr>
            </w:pPr>
          </w:p>
        </w:tc>
        <w:tc>
          <w:tcPr>
            <w:tcW w:w="1293" w:type="dxa"/>
            <w:shd w:val="clear" w:color="auto" w:fill="auto"/>
          </w:tcPr>
          <w:p w:rsidR="00CB09C3" w:rsidRPr="007D230E" w:rsidRDefault="00CB09C3" w:rsidP="00445A67">
            <w:pPr>
              <w:tabs>
                <w:tab w:val="left" w:pos="900"/>
                <w:tab w:val="left" w:pos="2700"/>
                <w:tab w:val="left" w:pos="4680"/>
              </w:tabs>
              <w:rPr>
                <w:rFonts w:cs="Arial"/>
                <w:sz w:val="16"/>
                <w:szCs w:val="16"/>
              </w:rPr>
            </w:pPr>
            <w:r w:rsidRPr="007D230E">
              <w:rPr>
                <w:rFonts w:cs="Arial"/>
                <w:sz w:val="16"/>
                <w:szCs w:val="16"/>
              </w:rPr>
              <w:t>not applicable</w:t>
            </w:r>
          </w:p>
        </w:tc>
      </w:tr>
    </w:tbl>
    <w:p w:rsidR="00CB09C3" w:rsidRPr="007D230E" w:rsidRDefault="00CB09C3" w:rsidP="00445A67">
      <w:pPr>
        <w:rPr>
          <w:rFonts w:cs="Arial"/>
        </w:rPr>
      </w:pPr>
    </w:p>
    <w:p w:rsidR="00647E13" w:rsidRPr="007D230E" w:rsidRDefault="00647E13" w:rsidP="00445A67">
      <w:pPr>
        <w:pStyle w:val="Heading2"/>
        <w:rPr>
          <w:i w:val="0"/>
          <w:lang w:val="en-NZ"/>
        </w:rPr>
      </w:pPr>
      <w:bookmarkStart w:id="18" w:name="_Toc441230619"/>
      <w:bookmarkStart w:id="19" w:name="_Toc526403844"/>
      <w:r w:rsidRPr="007D230E">
        <w:rPr>
          <w:i w:val="0"/>
          <w:lang w:val="en-NZ"/>
        </w:rPr>
        <w:t>Training and conferences</w:t>
      </w:r>
      <w:bookmarkEnd w:id="18"/>
      <w:bookmarkEnd w:id="19"/>
    </w:p>
    <w:p w:rsidR="00647E13" w:rsidRPr="007D230E" w:rsidRDefault="00647E13" w:rsidP="00445A67">
      <w:pPr>
        <w:rPr>
          <w:rFonts w:cs="Arial"/>
          <w:lang w:val="en-NZ"/>
        </w:rPr>
      </w:pPr>
      <w:r w:rsidRPr="007D230E">
        <w:rPr>
          <w:rFonts w:cs="Arial"/>
          <w:lang w:val="en-NZ"/>
        </w:rPr>
        <w:t>HDEC members were invited to attend the following conferences in 2015:</w:t>
      </w:r>
    </w:p>
    <w:p w:rsidR="00647E13" w:rsidRPr="007D230E" w:rsidRDefault="00647E13" w:rsidP="00445A67">
      <w:pPr>
        <w:rPr>
          <w:rFonts w:cs="Arial"/>
          <w:lang w:val="en-NZ"/>
        </w:rPr>
      </w:pPr>
    </w:p>
    <w:p w:rsidR="00647E13" w:rsidRPr="007D230E" w:rsidRDefault="00647E13" w:rsidP="00445A67">
      <w:pPr>
        <w:pStyle w:val="ListParagraph"/>
        <w:numPr>
          <w:ilvl w:val="0"/>
          <w:numId w:val="32"/>
        </w:numPr>
        <w:rPr>
          <w:rFonts w:cs="Arial"/>
          <w:lang w:val="en-NZ"/>
        </w:rPr>
      </w:pPr>
      <w:r w:rsidRPr="007D230E">
        <w:rPr>
          <w:rFonts w:cs="Arial"/>
          <w:lang w:val="en-NZ"/>
        </w:rPr>
        <w:t>Ethics in Practice - Dunedin</w:t>
      </w:r>
    </w:p>
    <w:p w:rsidR="00647E13" w:rsidRPr="007D230E" w:rsidRDefault="00647E13" w:rsidP="00445A67">
      <w:pPr>
        <w:pStyle w:val="ListParagraph"/>
        <w:numPr>
          <w:ilvl w:val="0"/>
          <w:numId w:val="32"/>
        </w:numPr>
        <w:rPr>
          <w:rFonts w:cs="Arial"/>
          <w:lang w:val="en-NZ"/>
        </w:rPr>
      </w:pPr>
      <w:r w:rsidRPr="007D230E">
        <w:rPr>
          <w:rFonts w:cs="Arial"/>
          <w:lang w:val="en-NZ"/>
        </w:rPr>
        <w:t>Maori Health Research Ethics Symposium – Wellington</w:t>
      </w:r>
    </w:p>
    <w:p w:rsidR="00647E13" w:rsidRPr="007D230E" w:rsidRDefault="00647E13" w:rsidP="00445A67">
      <w:pPr>
        <w:pStyle w:val="ListParagraph"/>
        <w:numPr>
          <w:ilvl w:val="0"/>
          <w:numId w:val="32"/>
        </w:numPr>
        <w:rPr>
          <w:rFonts w:cs="Arial"/>
          <w:lang w:val="en-NZ"/>
        </w:rPr>
      </w:pPr>
      <w:r w:rsidRPr="007D230E">
        <w:rPr>
          <w:rFonts w:cs="Arial"/>
          <w:lang w:val="en-NZ"/>
        </w:rPr>
        <w:t>Indigenous Approaches to Research and Tissue Banking – Auckland.</w:t>
      </w:r>
    </w:p>
    <w:p w:rsidR="00647E13" w:rsidRPr="007D230E" w:rsidRDefault="00647E13" w:rsidP="00445A67">
      <w:pPr>
        <w:rPr>
          <w:rFonts w:cs="Arial"/>
          <w:lang w:val="en-NZ"/>
        </w:rPr>
      </w:pPr>
    </w:p>
    <w:p w:rsidR="00647E13" w:rsidRPr="007D230E" w:rsidRDefault="00647E13" w:rsidP="00445A67">
      <w:pPr>
        <w:rPr>
          <w:rFonts w:cs="Arial"/>
          <w:lang w:val="en-NZ"/>
        </w:rPr>
      </w:pPr>
      <w:r w:rsidRPr="007D230E">
        <w:rPr>
          <w:rFonts w:cs="Arial"/>
          <w:lang w:val="en-NZ"/>
        </w:rPr>
        <w:t>There was no new member training held in 2015.</w:t>
      </w:r>
    </w:p>
    <w:p w:rsidR="00647E13" w:rsidRPr="007D230E" w:rsidRDefault="00647E13" w:rsidP="00445A67">
      <w:pPr>
        <w:rPr>
          <w:rFonts w:cs="Arial"/>
          <w:lang w:val="en-NZ"/>
        </w:rPr>
      </w:pPr>
    </w:p>
    <w:p w:rsidR="00647E13" w:rsidRPr="007D230E" w:rsidRDefault="00647E13" w:rsidP="00445A67">
      <w:pPr>
        <w:pStyle w:val="Heading2"/>
        <w:rPr>
          <w:i w:val="0"/>
          <w:lang w:val="en-NZ"/>
        </w:rPr>
      </w:pPr>
      <w:bookmarkStart w:id="20" w:name="_Toc393452198"/>
      <w:bookmarkStart w:id="21" w:name="_Toc441230620"/>
      <w:bookmarkStart w:id="22" w:name="_Toc271030690"/>
      <w:bookmarkStart w:id="23" w:name="_Toc526403845"/>
      <w:r w:rsidRPr="007D230E">
        <w:rPr>
          <w:i w:val="0"/>
          <w:lang w:val="en-NZ"/>
        </w:rPr>
        <w:lastRenderedPageBreak/>
        <w:t>Chairpersons’ meetings</w:t>
      </w:r>
      <w:bookmarkEnd w:id="20"/>
      <w:bookmarkEnd w:id="21"/>
      <w:bookmarkEnd w:id="23"/>
    </w:p>
    <w:p w:rsidR="00647E13" w:rsidRPr="007D230E" w:rsidRDefault="00647E13" w:rsidP="00445A67">
      <w:pPr>
        <w:rPr>
          <w:rFonts w:cs="Arial"/>
          <w:lang w:val="en-NZ"/>
        </w:rPr>
      </w:pPr>
      <w:r w:rsidRPr="007D230E">
        <w:rPr>
          <w:rFonts w:cs="Arial"/>
          <w:lang w:val="en-NZ"/>
        </w:rPr>
        <w:t xml:space="preserve">There were three Chairs’ day meetings in 2015. The meetings were held at the Freyberg Building in Wellington. </w:t>
      </w:r>
      <w:r w:rsidR="00356942">
        <w:rPr>
          <w:rFonts w:cs="Arial"/>
          <w:lang w:val="en-NZ"/>
        </w:rPr>
        <w:t xml:space="preserve">Mrs </w:t>
      </w:r>
      <w:proofErr w:type="spellStart"/>
      <w:r w:rsidR="00356942">
        <w:rPr>
          <w:rFonts w:cs="Arial"/>
          <w:lang w:val="en-NZ"/>
        </w:rPr>
        <w:t>Sporle</w:t>
      </w:r>
      <w:proofErr w:type="spellEnd"/>
      <w:r w:rsidRPr="007D230E">
        <w:rPr>
          <w:rFonts w:cs="Arial"/>
          <w:lang w:val="en-NZ"/>
        </w:rPr>
        <w:t xml:space="preserve"> attended three meetings. </w:t>
      </w:r>
    </w:p>
    <w:bookmarkEnd w:id="22"/>
    <w:p w:rsidR="0040216C" w:rsidRPr="007D230E" w:rsidRDefault="004A5520" w:rsidP="00445A67">
      <w:pPr>
        <w:spacing w:after="200"/>
        <w:rPr>
          <w:rFonts w:cs="Arial"/>
          <w:szCs w:val="22"/>
        </w:rPr>
      </w:pPr>
      <w:r w:rsidRPr="007D230E">
        <w:rPr>
          <w:rFonts w:cs="Arial"/>
          <w:szCs w:val="22"/>
        </w:rPr>
        <w:br w:type="page"/>
      </w:r>
    </w:p>
    <w:p w:rsidR="0040216C" w:rsidRPr="007D230E" w:rsidRDefault="0040216C" w:rsidP="00445A67">
      <w:pPr>
        <w:pStyle w:val="Heading1"/>
        <w:rPr>
          <w:rFonts w:cs="Arial"/>
        </w:rPr>
      </w:pPr>
      <w:bookmarkStart w:id="24" w:name="_Toc526403846"/>
      <w:r w:rsidRPr="007D230E">
        <w:rPr>
          <w:rFonts w:cs="Arial"/>
        </w:rPr>
        <w:lastRenderedPageBreak/>
        <w:t>Applications reviewed</w:t>
      </w:r>
      <w:bookmarkEnd w:id="24"/>
    </w:p>
    <w:p w:rsidR="0040216C" w:rsidRPr="007D230E" w:rsidRDefault="0040216C" w:rsidP="00445A67">
      <w:pPr>
        <w:rPr>
          <w:rFonts w:cs="Arial"/>
          <w:lang w:val="en-NZ"/>
        </w:rPr>
      </w:pPr>
      <w:r w:rsidRPr="007D230E">
        <w:rPr>
          <w:rFonts w:cs="Arial"/>
          <w:lang w:val="en-NZ"/>
        </w:rPr>
        <w:t xml:space="preserve">The Northern B HDEC received </w:t>
      </w:r>
      <w:r w:rsidR="00AB65CE" w:rsidRPr="007D230E">
        <w:rPr>
          <w:rFonts w:cs="Arial"/>
          <w:lang w:val="en-NZ"/>
        </w:rPr>
        <w:t>146</w:t>
      </w:r>
      <w:r w:rsidRPr="007D230E">
        <w:rPr>
          <w:rFonts w:cs="Arial"/>
          <w:lang w:val="en-NZ"/>
        </w:rPr>
        <w:t xml:space="preserve"> applications in 201</w:t>
      </w:r>
      <w:r w:rsidR="00361389" w:rsidRPr="007D230E">
        <w:rPr>
          <w:rFonts w:cs="Arial"/>
          <w:lang w:val="en-NZ"/>
        </w:rPr>
        <w:t>5</w:t>
      </w:r>
      <w:r w:rsidRPr="007D230E">
        <w:rPr>
          <w:rFonts w:cs="Arial"/>
          <w:lang w:val="en-NZ"/>
        </w:rPr>
        <w:t xml:space="preserve">. From the </w:t>
      </w:r>
      <w:r w:rsidR="00AB65CE" w:rsidRPr="007D230E">
        <w:rPr>
          <w:rFonts w:cs="Arial"/>
          <w:lang w:val="en-NZ"/>
        </w:rPr>
        <w:t xml:space="preserve">146 </w:t>
      </w:r>
      <w:r w:rsidRPr="007D230E">
        <w:rPr>
          <w:rFonts w:cs="Arial"/>
          <w:lang w:val="en-NZ"/>
        </w:rPr>
        <w:t xml:space="preserve">applications reviewed </w:t>
      </w:r>
      <w:r w:rsidR="00353FDC" w:rsidRPr="007D230E">
        <w:rPr>
          <w:rFonts w:cs="Arial"/>
          <w:lang w:val="en-NZ"/>
        </w:rPr>
        <w:t>89</w:t>
      </w:r>
      <w:r w:rsidRPr="007D230E">
        <w:rPr>
          <w:rFonts w:cs="Arial"/>
          <w:lang w:val="en-NZ"/>
        </w:rPr>
        <w:t xml:space="preserve"> applications were reviewed by the full committee and </w:t>
      </w:r>
      <w:r w:rsidR="00353FDC" w:rsidRPr="007D230E">
        <w:rPr>
          <w:rFonts w:cs="Arial"/>
          <w:lang w:val="en-NZ"/>
        </w:rPr>
        <w:t>51</w:t>
      </w:r>
      <w:r w:rsidRPr="007D230E">
        <w:rPr>
          <w:rFonts w:cs="Arial"/>
          <w:lang w:val="en-NZ"/>
        </w:rPr>
        <w:t xml:space="preserve"> were reviewed through the expedited pathway.</w:t>
      </w:r>
    </w:p>
    <w:p w:rsidR="0040216C" w:rsidRPr="007D230E" w:rsidRDefault="0040216C" w:rsidP="00445A67">
      <w:pPr>
        <w:rPr>
          <w:rFonts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57"/>
        <w:gridCol w:w="1625"/>
      </w:tblGrid>
      <w:tr w:rsidR="0040216C" w:rsidRPr="007D230E" w:rsidTr="00C36C4E">
        <w:tc>
          <w:tcPr>
            <w:tcW w:w="879" w:type="dxa"/>
            <w:vMerge w:val="restart"/>
            <w:textDirection w:val="btLr"/>
            <w:vAlign w:val="center"/>
          </w:tcPr>
          <w:p w:rsidR="0040216C" w:rsidRPr="007D230E" w:rsidRDefault="0040216C" w:rsidP="00445A67">
            <w:pPr>
              <w:ind w:left="113" w:right="113"/>
              <w:jc w:val="center"/>
              <w:rPr>
                <w:rFonts w:cs="Arial"/>
                <w:sz w:val="18"/>
                <w:szCs w:val="18"/>
                <w:lang w:val="en-NZ"/>
              </w:rPr>
            </w:pPr>
            <w:r w:rsidRPr="007D230E">
              <w:rPr>
                <w:rFonts w:cs="Arial"/>
                <w:sz w:val="18"/>
                <w:szCs w:val="18"/>
                <w:lang w:val="en-NZ"/>
              </w:rPr>
              <w:t>Full</w:t>
            </w:r>
          </w:p>
        </w:tc>
        <w:tc>
          <w:tcPr>
            <w:tcW w:w="6129" w:type="dxa"/>
            <w:vAlign w:val="center"/>
          </w:tcPr>
          <w:p w:rsidR="0040216C" w:rsidRPr="007D230E" w:rsidRDefault="0040216C" w:rsidP="00445A67">
            <w:pPr>
              <w:spacing w:before="40" w:after="40"/>
              <w:rPr>
                <w:rFonts w:cs="Arial"/>
                <w:sz w:val="18"/>
                <w:szCs w:val="18"/>
                <w:lang w:val="en-NZ"/>
              </w:rPr>
            </w:pPr>
            <w:r w:rsidRPr="007D230E">
              <w:rPr>
                <w:rFonts w:cs="Arial"/>
                <w:sz w:val="18"/>
                <w:szCs w:val="18"/>
                <w:lang w:val="en-NZ"/>
              </w:rPr>
              <w:t>Approved</w:t>
            </w:r>
          </w:p>
        </w:tc>
        <w:tc>
          <w:tcPr>
            <w:tcW w:w="1664" w:type="dxa"/>
            <w:shd w:val="clear" w:color="auto" w:fill="auto"/>
            <w:vAlign w:val="center"/>
          </w:tcPr>
          <w:p w:rsidR="0040216C" w:rsidRPr="007D230E" w:rsidRDefault="00AB65CE" w:rsidP="00445A67">
            <w:pPr>
              <w:spacing w:before="40" w:after="40"/>
              <w:jc w:val="center"/>
              <w:rPr>
                <w:rFonts w:cs="Arial"/>
                <w:sz w:val="18"/>
                <w:szCs w:val="18"/>
                <w:lang w:val="en-NZ"/>
              </w:rPr>
            </w:pPr>
            <w:r w:rsidRPr="007D230E">
              <w:rPr>
                <w:rFonts w:cs="Arial"/>
                <w:sz w:val="18"/>
                <w:szCs w:val="18"/>
                <w:lang w:val="en-NZ"/>
              </w:rPr>
              <w:t>89</w:t>
            </w:r>
          </w:p>
        </w:tc>
      </w:tr>
      <w:tr w:rsidR="0040216C" w:rsidRPr="007D230E" w:rsidTr="00C36C4E">
        <w:tc>
          <w:tcPr>
            <w:tcW w:w="879" w:type="dxa"/>
            <w:vMerge/>
            <w:vAlign w:val="center"/>
          </w:tcPr>
          <w:p w:rsidR="0040216C" w:rsidRPr="007D230E" w:rsidRDefault="0040216C" w:rsidP="00445A67">
            <w:pPr>
              <w:jc w:val="center"/>
              <w:rPr>
                <w:rFonts w:cs="Arial"/>
                <w:sz w:val="18"/>
                <w:szCs w:val="18"/>
                <w:lang w:val="en-NZ"/>
              </w:rPr>
            </w:pPr>
          </w:p>
        </w:tc>
        <w:tc>
          <w:tcPr>
            <w:tcW w:w="6129" w:type="dxa"/>
            <w:vAlign w:val="center"/>
          </w:tcPr>
          <w:p w:rsidR="0040216C" w:rsidRPr="007D230E" w:rsidRDefault="0040216C" w:rsidP="00445A67">
            <w:pPr>
              <w:spacing w:before="40" w:after="40"/>
              <w:rPr>
                <w:rFonts w:cs="Arial"/>
                <w:sz w:val="18"/>
                <w:szCs w:val="18"/>
                <w:lang w:val="en-NZ"/>
              </w:rPr>
            </w:pPr>
            <w:r w:rsidRPr="007D230E">
              <w:rPr>
                <w:rFonts w:cs="Arial"/>
                <w:sz w:val="18"/>
                <w:szCs w:val="18"/>
                <w:lang w:val="en-NZ"/>
              </w:rPr>
              <w:t>Declined</w:t>
            </w:r>
          </w:p>
        </w:tc>
        <w:tc>
          <w:tcPr>
            <w:tcW w:w="1664" w:type="dxa"/>
            <w:shd w:val="clear" w:color="auto" w:fill="auto"/>
            <w:vAlign w:val="center"/>
          </w:tcPr>
          <w:p w:rsidR="0040216C" w:rsidRPr="007D230E" w:rsidRDefault="00AB65CE" w:rsidP="00445A67">
            <w:pPr>
              <w:spacing w:before="40" w:after="40"/>
              <w:jc w:val="center"/>
              <w:rPr>
                <w:rFonts w:cs="Arial"/>
                <w:sz w:val="18"/>
                <w:szCs w:val="18"/>
                <w:lang w:val="en-NZ"/>
              </w:rPr>
            </w:pPr>
            <w:r w:rsidRPr="007D230E">
              <w:rPr>
                <w:rFonts w:cs="Arial"/>
                <w:sz w:val="18"/>
                <w:szCs w:val="18"/>
                <w:lang w:val="en-NZ"/>
              </w:rPr>
              <w:t>2</w:t>
            </w:r>
          </w:p>
        </w:tc>
      </w:tr>
      <w:tr w:rsidR="0040216C" w:rsidRPr="007D230E" w:rsidTr="00C36C4E">
        <w:tc>
          <w:tcPr>
            <w:tcW w:w="879" w:type="dxa"/>
            <w:vMerge/>
            <w:vAlign w:val="center"/>
          </w:tcPr>
          <w:p w:rsidR="0040216C" w:rsidRPr="007D230E" w:rsidRDefault="0040216C" w:rsidP="00445A67">
            <w:pPr>
              <w:jc w:val="center"/>
              <w:rPr>
                <w:rFonts w:cs="Arial"/>
                <w:sz w:val="18"/>
                <w:szCs w:val="18"/>
                <w:lang w:val="en-NZ"/>
              </w:rPr>
            </w:pPr>
          </w:p>
        </w:tc>
        <w:tc>
          <w:tcPr>
            <w:tcW w:w="6129" w:type="dxa"/>
            <w:vAlign w:val="center"/>
          </w:tcPr>
          <w:p w:rsidR="0040216C" w:rsidRPr="007D230E" w:rsidRDefault="0040216C" w:rsidP="00445A67">
            <w:pPr>
              <w:rPr>
                <w:rFonts w:cs="Arial"/>
                <w:color w:val="000000"/>
                <w:sz w:val="18"/>
                <w:szCs w:val="18"/>
              </w:rPr>
            </w:pPr>
            <w:r w:rsidRPr="007D230E">
              <w:rPr>
                <w:rFonts w:cs="Arial"/>
                <w:sz w:val="18"/>
                <w:szCs w:val="18"/>
                <w:lang w:val="en-NZ"/>
              </w:rPr>
              <w:t>Provisional Approval (as at 31 December 201</w:t>
            </w:r>
            <w:r w:rsidR="00361389" w:rsidRPr="007D230E">
              <w:rPr>
                <w:rFonts w:cs="Arial"/>
                <w:sz w:val="18"/>
                <w:szCs w:val="18"/>
                <w:lang w:val="en-NZ"/>
              </w:rPr>
              <w:t>5</w:t>
            </w:r>
            <w:r w:rsidRPr="007D230E">
              <w:rPr>
                <w:rFonts w:cs="Arial"/>
                <w:sz w:val="18"/>
                <w:szCs w:val="18"/>
                <w:lang w:val="en-NZ"/>
              </w:rPr>
              <w:t>)</w:t>
            </w:r>
          </w:p>
        </w:tc>
        <w:tc>
          <w:tcPr>
            <w:tcW w:w="1664" w:type="dxa"/>
            <w:shd w:val="clear" w:color="auto" w:fill="auto"/>
            <w:vAlign w:val="center"/>
          </w:tcPr>
          <w:p w:rsidR="0040216C" w:rsidRPr="007D230E" w:rsidRDefault="00AB65CE" w:rsidP="00445A67">
            <w:pPr>
              <w:spacing w:before="40" w:after="40"/>
              <w:jc w:val="center"/>
              <w:rPr>
                <w:rFonts w:cs="Arial"/>
                <w:sz w:val="18"/>
                <w:szCs w:val="18"/>
                <w:lang w:val="en-NZ"/>
              </w:rPr>
            </w:pPr>
            <w:r w:rsidRPr="007D230E">
              <w:rPr>
                <w:rFonts w:cs="Arial"/>
                <w:sz w:val="18"/>
                <w:szCs w:val="18"/>
                <w:lang w:val="en-NZ"/>
              </w:rPr>
              <w:t>4</w:t>
            </w:r>
          </w:p>
        </w:tc>
      </w:tr>
      <w:tr w:rsidR="0040216C" w:rsidRPr="007D230E" w:rsidTr="00C36C4E">
        <w:tc>
          <w:tcPr>
            <w:tcW w:w="879" w:type="dxa"/>
            <w:vMerge/>
            <w:tcBorders>
              <w:bottom w:val="single" w:sz="8" w:space="0" w:color="auto"/>
            </w:tcBorders>
            <w:vAlign w:val="center"/>
          </w:tcPr>
          <w:p w:rsidR="0040216C" w:rsidRPr="007D230E" w:rsidRDefault="0040216C" w:rsidP="00445A67">
            <w:pPr>
              <w:jc w:val="center"/>
              <w:rPr>
                <w:rFonts w:cs="Arial"/>
                <w:sz w:val="18"/>
                <w:szCs w:val="18"/>
                <w:lang w:val="en-NZ"/>
              </w:rPr>
            </w:pPr>
          </w:p>
        </w:tc>
        <w:tc>
          <w:tcPr>
            <w:tcW w:w="6129" w:type="dxa"/>
            <w:tcBorders>
              <w:bottom w:val="single" w:sz="8" w:space="0" w:color="auto"/>
            </w:tcBorders>
            <w:shd w:val="clear" w:color="auto" w:fill="D9D9D9" w:themeFill="background1" w:themeFillShade="D9"/>
            <w:vAlign w:val="center"/>
          </w:tcPr>
          <w:p w:rsidR="0040216C" w:rsidRPr="007D230E" w:rsidRDefault="0040216C" w:rsidP="00445A67">
            <w:pPr>
              <w:spacing w:before="40" w:after="40"/>
              <w:rPr>
                <w:rFonts w:cs="Arial"/>
                <w:i/>
                <w:sz w:val="18"/>
                <w:szCs w:val="18"/>
                <w:lang w:val="en-NZ"/>
              </w:rPr>
            </w:pPr>
            <w:r w:rsidRPr="007D230E">
              <w:rPr>
                <w:rFonts w:cs="Arial"/>
                <w:i/>
                <w:sz w:val="18"/>
                <w:szCs w:val="18"/>
                <w:lang w:val="en-NZ"/>
              </w:rPr>
              <w:t>Total (with a decision at 31 December 201</w:t>
            </w:r>
            <w:r w:rsidR="00361389" w:rsidRPr="007D230E">
              <w:rPr>
                <w:rFonts w:cs="Arial"/>
                <w:i/>
                <w:sz w:val="18"/>
                <w:szCs w:val="18"/>
                <w:lang w:val="en-NZ"/>
              </w:rPr>
              <w:t>5</w:t>
            </w:r>
            <w:r w:rsidRPr="007D230E">
              <w:rPr>
                <w:rFonts w:cs="Arial"/>
                <w:i/>
                <w:sz w:val="18"/>
                <w:szCs w:val="18"/>
                <w:lang w:val="en-NZ"/>
              </w:rPr>
              <w:t>)</w:t>
            </w:r>
          </w:p>
        </w:tc>
        <w:tc>
          <w:tcPr>
            <w:tcW w:w="1664" w:type="dxa"/>
            <w:tcBorders>
              <w:bottom w:val="single" w:sz="8" w:space="0" w:color="auto"/>
            </w:tcBorders>
            <w:shd w:val="clear" w:color="auto" w:fill="D9D9D9" w:themeFill="background1" w:themeFillShade="D9"/>
            <w:vAlign w:val="center"/>
          </w:tcPr>
          <w:p w:rsidR="0040216C" w:rsidRPr="007D230E" w:rsidRDefault="00AB65CE" w:rsidP="00445A67">
            <w:pPr>
              <w:spacing w:before="40" w:after="40"/>
              <w:jc w:val="center"/>
              <w:rPr>
                <w:rFonts w:cs="Arial"/>
                <w:sz w:val="18"/>
                <w:szCs w:val="18"/>
                <w:lang w:val="en-NZ"/>
              </w:rPr>
            </w:pPr>
            <w:r w:rsidRPr="007D230E">
              <w:rPr>
                <w:rFonts w:cs="Arial"/>
                <w:sz w:val="18"/>
                <w:szCs w:val="18"/>
                <w:lang w:val="en-NZ"/>
              </w:rPr>
              <w:t>95</w:t>
            </w:r>
          </w:p>
        </w:tc>
      </w:tr>
      <w:tr w:rsidR="0040216C" w:rsidRPr="007D230E" w:rsidTr="00C36C4E">
        <w:tc>
          <w:tcPr>
            <w:tcW w:w="879" w:type="dxa"/>
            <w:vMerge w:val="restart"/>
            <w:tcBorders>
              <w:top w:val="single" w:sz="8" w:space="0" w:color="auto"/>
            </w:tcBorders>
            <w:textDirection w:val="btLr"/>
            <w:vAlign w:val="center"/>
          </w:tcPr>
          <w:p w:rsidR="0040216C" w:rsidRPr="007D230E" w:rsidRDefault="0040216C" w:rsidP="00445A67">
            <w:pPr>
              <w:ind w:left="113" w:right="113"/>
              <w:jc w:val="center"/>
              <w:rPr>
                <w:rFonts w:cs="Arial"/>
                <w:sz w:val="18"/>
                <w:szCs w:val="18"/>
                <w:lang w:val="en-NZ"/>
              </w:rPr>
            </w:pPr>
            <w:r w:rsidRPr="007D230E">
              <w:rPr>
                <w:rFonts w:cs="Arial"/>
                <w:sz w:val="18"/>
                <w:szCs w:val="18"/>
                <w:lang w:val="en-NZ"/>
              </w:rPr>
              <w:t>Expedited</w:t>
            </w:r>
          </w:p>
        </w:tc>
        <w:tc>
          <w:tcPr>
            <w:tcW w:w="6129" w:type="dxa"/>
            <w:tcBorders>
              <w:top w:val="single" w:sz="8" w:space="0" w:color="auto"/>
            </w:tcBorders>
            <w:vAlign w:val="center"/>
          </w:tcPr>
          <w:p w:rsidR="0040216C" w:rsidRPr="007D230E" w:rsidRDefault="0040216C" w:rsidP="00445A67">
            <w:pPr>
              <w:spacing w:before="40" w:after="40"/>
              <w:rPr>
                <w:rFonts w:cs="Arial"/>
                <w:sz w:val="18"/>
                <w:szCs w:val="18"/>
                <w:lang w:val="en-NZ"/>
              </w:rPr>
            </w:pPr>
            <w:r w:rsidRPr="007D230E">
              <w:rPr>
                <w:rFonts w:cs="Arial"/>
                <w:sz w:val="18"/>
                <w:szCs w:val="18"/>
                <w:lang w:val="en-NZ"/>
              </w:rPr>
              <w:t>Approved</w:t>
            </w:r>
          </w:p>
        </w:tc>
        <w:tc>
          <w:tcPr>
            <w:tcW w:w="1664" w:type="dxa"/>
            <w:tcBorders>
              <w:top w:val="single" w:sz="8" w:space="0" w:color="auto"/>
            </w:tcBorders>
            <w:shd w:val="clear" w:color="auto" w:fill="auto"/>
            <w:vAlign w:val="center"/>
          </w:tcPr>
          <w:p w:rsidR="0040216C" w:rsidRPr="007D230E" w:rsidRDefault="00AB65CE" w:rsidP="00445A67">
            <w:pPr>
              <w:spacing w:before="40" w:after="40"/>
              <w:jc w:val="center"/>
              <w:rPr>
                <w:rFonts w:cs="Arial"/>
                <w:sz w:val="18"/>
                <w:szCs w:val="18"/>
              </w:rPr>
            </w:pPr>
            <w:r w:rsidRPr="007D230E">
              <w:rPr>
                <w:rFonts w:cs="Arial"/>
                <w:sz w:val="18"/>
                <w:szCs w:val="18"/>
              </w:rPr>
              <w:t>46</w:t>
            </w:r>
          </w:p>
        </w:tc>
      </w:tr>
      <w:tr w:rsidR="0040216C" w:rsidRPr="007D230E" w:rsidTr="00C36C4E">
        <w:tc>
          <w:tcPr>
            <w:tcW w:w="879" w:type="dxa"/>
            <w:vMerge/>
          </w:tcPr>
          <w:p w:rsidR="0040216C" w:rsidRPr="007D230E" w:rsidRDefault="0040216C" w:rsidP="00445A67">
            <w:pPr>
              <w:rPr>
                <w:rFonts w:cs="Arial"/>
                <w:sz w:val="18"/>
                <w:szCs w:val="18"/>
                <w:lang w:val="en-NZ"/>
              </w:rPr>
            </w:pPr>
          </w:p>
        </w:tc>
        <w:tc>
          <w:tcPr>
            <w:tcW w:w="6129" w:type="dxa"/>
            <w:vAlign w:val="center"/>
          </w:tcPr>
          <w:p w:rsidR="0040216C" w:rsidRPr="007D230E" w:rsidRDefault="0040216C" w:rsidP="00445A67">
            <w:pPr>
              <w:spacing w:before="40" w:after="40"/>
              <w:rPr>
                <w:rFonts w:cs="Arial"/>
                <w:sz w:val="18"/>
                <w:szCs w:val="18"/>
                <w:lang w:val="en-NZ"/>
              </w:rPr>
            </w:pPr>
            <w:r w:rsidRPr="007D230E">
              <w:rPr>
                <w:rFonts w:cs="Arial"/>
                <w:sz w:val="18"/>
                <w:szCs w:val="18"/>
                <w:lang w:val="en-NZ"/>
              </w:rPr>
              <w:t>Declined</w:t>
            </w:r>
          </w:p>
        </w:tc>
        <w:tc>
          <w:tcPr>
            <w:tcW w:w="1664" w:type="dxa"/>
            <w:shd w:val="clear" w:color="auto" w:fill="auto"/>
            <w:vAlign w:val="center"/>
          </w:tcPr>
          <w:p w:rsidR="0040216C" w:rsidRPr="007D230E" w:rsidRDefault="00AB65CE" w:rsidP="00445A67">
            <w:pPr>
              <w:spacing w:before="40" w:after="40"/>
              <w:jc w:val="center"/>
              <w:rPr>
                <w:rFonts w:cs="Arial"/>
                <w:sz w:val="18"/>
                <w:szCs w:val="18"/>
              </w:rPr>
            </w:pPr>
            <w:r w:rsidRPr="007D230E">
              <w:rPr>
                <w:rFonts w:cs="Arial"/>
                <w:sz w:val="18"/>
                <w:szCs w:val="18"/>
              </w:rPr>
              <w:t>4</w:t>
            </w:r>
          </w:p>
        </w:tc>
      </w:tr>
      <w:tr w:rsidR="0040216C" w:rsidRPr="007D230E" w:rsidTr="00C36C4E">
        <w:tc>
          <w:tcPr>
            <w:tcW w:w="879" w:type="dxa"/>
            <w:vMerge/>
          </w:tcPr>
          <w:p w:rsidR="0040216C" w:rsidRPr="007D230E" w:rsidRDefault="0040216C" w:rsidP="00445A67">
            <w:pPr>
              <w:rPr>
                <w:rFonts w:cs="Arial"/>
                <w:sz w:val="18"/>
                <w:szCs w:val="18"/>
                <w:lang w:val="en-NZ"/>
              </w:rPr>
            </w:pPr>
          </w:p>
        </w:tc>
        <w:tc>
          <w:tcPr>
            <w:tcW w:w="6129" w:type="dxa"/>
            <w:vAlign w:val="center"/>
          </w:tcPr>
          <w:p w:rsidR="0040216C" w:rsidRPr="007D230E" w:rsidRDefault="0040216C" w:rsidP="00445A67">
            <w:pPr>
              <w:spacing w:before="40" w:after="40"/>
              <w:rPr>
                <w:rFonts w:cs="Arial"/>
                <w:sz w:val="18"/>
                <w:szCs w:val="18"/>
                <w:lang w:val="en-NZ"/>
              </w:rPr>
            </w:pPr>
            <w:r w:rsidRPr="007D230E">
              <w:rPr>
                <w:rFonts w:cs="Arial"/>
                <w:sz w:val="18"/>
                <w:szCs w:val="18"/>
                <w:lang w:val="en-NZ"/>
              </w:rPr>
              <w:t>Provisional Approval (as at 31 December 201</w:t>
            </w:r>
            <w:r w:rsidR="00361389" w:rsidRPr="007D230E">
              <w:rPr>
                <w:rFonts w:cs="Arial"/>
                <w:sz w:val="18"/>
                <w:szCs w:val="18"/>
                <w:lang w:val="en-NZ"/>
              </w:rPr>
              <w:t>5</w:t>
            </w:r>
            <w:r w:rsidRPr="007D230E">
              <w:rPr>
                <w:rFonts w:cs="Arial"/>
                <w:sz w:val="18"/>
                <w:szCs w:val="18"/>
                <w:lang w:val="en-NZ"/>
              </w:rPr>
              <w:t>)</w:t>
            </w:r>
          </w:p>
        </w:tc>
        <w:tc>
          <w:tcPr>
            <w:tcW w:w="1664" w:type="dxa"/>
            <w:shd w:val="clear" w:color="auto" w:fill="auto"/>
            <w:vAlign w:val="center"/>
          </w:tcPr>
          <w:p w:rsidR="0040216C" w:rsidRPr="007D230E" w:rsidRDefault="00AB65CE" w:rsidP="00445A67">
            <w:pPr>
              <w:spacing w:before="40" w:after="40"/>
              <w:jc w:val="center"/>
              <w:rPr>
                <w:rFonts w:cs="Arial"/>
                <w:sz w:val="18"/>
                <w:szCs w:val="18"/>
              </w:rPr>
            </w:pPr>
            <w:r w:rsidRPr="007D230E">
              <w:rPr>
                <w:rFonts w:cs="Arial"/>
                <w:sz w:val="18"/>
                <w:szCs w:val="18"/>
              </w:rPr>
              <w:t>1</w:t>
            </w:r>
          </w:p>
        </w:tc>
      </w:tr>
      <w:tr w:rsidR="0040216C" w:rsidRPr="007D230E" w:rsidTr="00C36C4E">
        <w:tc>
          <w:tcPr>
            <w:tcW w:w="879" w:type="dxa"/>
            <w:vMerge/>
            <w:tcBorders>
              <w:bottom w:val="single" w:sz="4" w:space="0" w:color="auto"/>
            </w:tcBorders>
          </w:tcPr>
          <w:p w:rsidR="0040216C" w:rsidRPr="007D230E" w:rsidRDefault="0040216C" w:rsidP="00445A67">
            <w:pPr>
              <w:rPr>
                <w:rFonts w:cs="Arial"/>
                <w:sz w:val="18"/>
                <w:szCs w:val="18"/>
                <w:lang w:val="en-NZ"/>
              </w:rPr>
            </w:pPr>
          </w:p>
        </w:tc>
        <w:tc>
          <w:tcPr>
            <w:tcW w:w="6129" w:type="dxa"/>
            <w:tcBorders>
              <w:bottom w:val="single" w:sz="4" w:space="0" w:color="auto"/>
            </w:tcBorders>
            <w:shd w:val="clear" w:color="auto" w:fill="D9D9D9" w:themeFill="background1" w:themeFillShade="D9"/>
            <w:vAlign w:val="center"/>
          </w:tcPr>
          <w:p w:rsidR="0040216C" w:rsidRPr="007D230E" w:rsidRDefault="0040216C" w:rsidP="00445A67">
            <w:pPr>
              <w:spacing w:before="40" w:after="40"/>
              <w:rPr>
                <w:rFonts w:cs="Arial"/>
                <w:i/>
                <w:sz w:val="18"/>
                <w:szCs w:val="18"/>
                <w:lang w:val="en-NZ"/>
              </w:rPr>
            </w:pPr>
            <w:r w:rsidRPr="007D230E">
              <w:rPr>
                <w:rFonts w:cs="Arial"/>
                <w:i/>
                <w:sz w:val="18"/>
                <w:szCs w:val="18"/>
                <w:lang w:val="en-NZ"/>
              </w:rPr>
              <w:t>Total (with a decision at 31 December 201</w:t>
            </w:r>
            <w:r w:rsidR="00361389" w:rsidRPr="007D230E">
              <w:rPr>
                <w:rFonts w:cs="Arial"/>
                <w:i/>
                <w:sz w:val="18"/>
                <w:szCs w:val="18"/>
                <w:lang w:val="en-NZ"/>
              </w:rPr>
              <w:t>5</w:t>
            </w:r>
            <w:r w:rsidRPr="007D230E">
              <w:rPr>
                <w:rFonts w:cs="Arial"/>
                <w:i/>
                <w:sz w:val="18"/>
                <w:szCs w:val="18"/>
                <w:lang w:val="en-NZ"/>
              </w:rPr>
              <w:t>)</w:t>
            </w:r>
          </w:p>
        </w:tc>
        <w:tc>
          <w:tcPr>
            <w:tcW w:w="1664" w:type="dxa"/>
            <w:shd w:val="clear" w:color="auto" w:fill="D9D9D9" w:themeFill="background1" w:themeFillShade="D9"/>
            <w:vAlign w:val="center"/>
          </w:tcPr>
          <w:p w:rsidR="0040216C" w:rsidRPr="007D230E" w:rsidRDefault="00AB65CE" w:rsidP="00445A67">
            <w:pPr>
              <w:spacing w:before="40" w:after="40"/>
              <w:jc w:val="center"/>
              <w:rPr>
                <w:rFonts w:cs="Arial"/>
                <w:sz w:val="18"/>
                <w:szCs w:val="18"/>
              </w:rPr>
            </w:pPr>
            <w:r w:rsidRPr="007D230E">
              <w:rPr>
                <w:rFonts w:cs="Arial"/>
                <w:sz w:val="18"/>
                <w:szCs w:val="18"/>
              </w:rPr>
              <w:t>51</w:t>
            </w:r>
          </w:p>
        </w:tc>
      </w:tr>
      <w:tr w:rsidR="0040216C" w:rsidRPr="007D230E" w:rsidTr="00C36C4E">
        <w:trPr>
          <w:trHeight w:val="163"/>
        </w:trPr>
        <w:tc>
          <w:tcPr>
            <w:tcW w:w="7008" w:type="dxa"/>
            <w:gridSpan w:val="2"/>
            <w:tcBorders>
              <w:left w:val="single" w:sz="4" w:space="0" w:color="auto"/>
            </w:tcBorders>
            <w:vAlign w:val="center"/>
          </w:tcPr>
          <w:p w:rsidR="0040216C" w:rsidRPr="007D230E" w:rsidRDefault="0040216C" w:rsidP="00445A67">
            <w:pPr>
              <w:spacing w:before="40" w:after="40"/>
              <w:rPr>
                <w:rFonts w:cs="Arial"/>
                <w:b/>
                <w:sz w:val="18"/>
                <w:szCs w:val="18"/>
                <w:lang w:val="en-NZ"/>
              </w:rPr>
            </w:pPr>
            <w:r w:rsidRPr="007D230E">
              <w:rPr>
                <w:rFonts w:cs="Arial"/>
                <w:b/>
                <w:sz w:val="18"/>
                <w:szCs w:val="18"/>
                <w:lang w:val="en-NZ"/>
              </w:rPr>
              <w:t>Total applications reviewed</w:t>
            </w:r>
          </w:p>
        </w:tc>
        <w:tc>
          <w:tcPr>
            <w:tcW w:w="1664" w:type="dxa"/>
            <w:shd w:val="clear" w:color="auto" w:fill="auto"/>
            <w:vAlign w:val="center"/>
          </w:tcPr>
          <w:p w:rsidR="0040216C" w:rsidRPr="007D230E" w:rsidRDefault="00AB65CE" w:rsidP="00445A67">
            <w:pPr>
              <w:spacing w:before="40" w:after="40"/>
              <w:jc w:val="center"/>
              <w:rPr>
                <w:rFonts w:cs="Arial"/>
                <w:b/>
                <w:i/>
                <w:sz w:val="18"/>
                <w:szCs w:val="18"/>
                <w:lang w:val="en-NZ"/>
              </w:rPr>
            </w:pPr>
            <w:r w:rsidRPr="007D230E">
              <w:rPr>
                <w:rFonts w:cs="Arial"/>
                <w:b/>
                <w:i/>
                <w:sz w:val="18"/>
                <w:szCs w:val="18"/>
                <w:lang w:val="en-NZ"/>
              </w:rPr>
              <w:t>146</w:t>
            </w:r>
          </w:p>
        </w:tc>
      </w:tr>
    </w:tbl>
    <w:p w:rsidR="0040216C" w:rsidRPr="007D230E" w:rsidRDefault="0040216C" w:rsidP="00445A67">
      <w:pPr>
        <w:rPr>
          <w:rFonts w:cs="Arial"/>
          <w:lang w:val="en-NZ"/>
        </w:rPr>
      </w:pPr>
    </w:p>
    <w:p w:rsidR="00A841C4" w:rsidRDefault="0040216C" w:rsidP="00A841C4">
      <w:pPr>
        <w:rPr>
          <w:rFonts w:cs="Arial"/>
          <w:lang w:val="en-NZ"/>
        </w:rPr>
      </w:pPr>
      <w:r w:rsidRPr="007D230E">
        <w:rPr>
          <w:rFonts w:cs="Arial"/>
          <w:lang w:val="en-NZ"/>
        </w:rPr>
        <w:t xml:space="preserve">A summary of these applications can be found in Appendix </w:t>
      </w:r>
      <w:r w:rsidR="00693DA8">
        <w:rPr>
          <w:rFonts w:cs="Arial"/>
          <w:lang w:val="en-NZ"/>
        </w:rPr>
        <w:t>1</w:t>
      </w:r>
      <w:r w:rsidRPr="007D230E">
        <w:rPr>
          <w:rFonts w:cs="Arial"/>
          <w:lang w:val="en-NZ"/>
        </w:rPr>
        <w:t>.</w:t>
      </w:r>
      <w:bookmarkStart w:id="25" w:name="_Toc393452018"/>
    </w:p>
    <w:p w:rsidR="00A841C4" w:rsidRDefault="00A841C4" w:rsidP="00A841C4">
      <w:pPr>
        <w:rPr>
          <w:rFonts w:cs="Arial"/>
          <w:lang w:val="en-NZ"/>
        </w:rPr>
      </w:pPr>
    </w:p>
    <w:p w:rsidR="00A841C4" w:rsidRPr="00FD4406" w:rsidRDefault="00A841C4" w:rsidP="00A841C4">
      <w:pPr>
        <w:pStyle w:val="Heading1"/>
      </w:pPr>
      <w:bookmarkStart w:id="26" w:name="_Toc378678944"/>
      <w:bookmarkStart w:id="27" w:name="_Toc441230625"/>
      <w:bookmarkStart w:id="28" w:name="_Toc471975247"/>
      <w:bookmarkStart w:id="29" w:name="_Toc526403847"/>
      <w:r w:rsidRPr="00FD4406">
        <w:t>Complaints</w:t>
      </w:r>
      <w:bookmarkEnd w:id="26"/>
      <w:bookmarkEnd w:id="27"/>
      <w:r w:rsidRPr="00FD4406">
        <w:t xml:space="preserve"> and </w:t>
      </w:r>
      <w:r w:rsidR="00693DA8">
        <w:t>o</w:t>
      </w:r>
      <w:r w:rsidRPr="00FD4406">
        <w:t xml:space="preserve">verdue </w:t>
      </w:r>
      <w:r w:rsidR="00693DA8">
        <w:t>a</w:t>
      </w:r>
      <w:r w:rsidRPr="00FD4406">
        <w:t xml:space="preserve">pplication </w:t>
      </w:r>
      <w:r w:rsidR="00693DA8">
        <w:t>s</w:t>
      </w:r>
      <w:r w:rsidRPr="00FD4406">
        <w:t>ummary</w:t>
      </w:r>
      <w:bookmarkEnd w:id="28"/>
      <w:bookmarkEnd w:id="29"/>
    </w:p>
    <w:p w:rsidR="00A841C4" w:rsidRPr="00275578" w:rsidRDefault="00A841C4" w:rsidP="00A841C4">
      <w:pPr>
        <w:rPr>
          <w:rFonts w:cs="Arial"/>
        </w:rPr>
      </w:pPr>
      <w:r w:rsidRPr="00275578">
        <w:rPr>
          <w:rFonts w:cs="Arial"/>
        </w:rPr>
        <w:t xml:space="preserve">This section outlines </w:t>
      </w:r>
      <w:r>
        <w:rPr>
          <w:rFonts w:cs="Arial"/>
        </w:rPr>
        <w:t>complaints</w:t>
      </w:r>
      <w:bookmarkStart w:id="30" w:name="_Toc271030695"/>
      <w:r>
        <w:rPr>
          <w:rFonts w:cs="Arial"/>
        </w:rPr>
        <w:t xml:space="preserve"> about decisions made</w:t>
      </w:r>
      <w:r w:rsidRPr="00275578">
        <w:rPr>
          <w:rFonts w:cs="Arial"/>
        </w:rPr>
        <w:t xml:space="preserve"> by the Committee during 201</w:t>
      </w:r>
      <w:r>
        <w:rPr>
          <w:rFonts w:cs="Arial"/>
        </w:rPr>
        <w:t>5.</w:t>
      </w:r>
    </w:p>
    <w:p w:rsidR="00A841C4" w:rsidRPr="007D230E" w:rsidRDefault="00A841C4" w:rsidP="00A841C4">
      <w:pPr>
        <w:pStyle w:val="Heading2"/>
        <w:rPr>
          <w:bCs w:val="0"/>
          <w:i w:val="0"/>
          <w:iCs w:val="0"/>
          <w:sz w:val="24"/>
          <w:szCs w:val="24"/>
        </w:rPr>
      </w:pPr>
      <w:bookmarkStart w:id="31" w:name="_Toc526403848"/>
      <w:bookmarkEnd w:id="30"/>
      <w:r w:rsidRPr="007D230E">
        <w:rPr>
          <w:bCs w:val="0"/>
          <w:i w:val="0"/>
          <w:iCs w:val="0"/>
          <w:sz w:val="24"/>
          <w:szCs w:val="24"/>
        </w:rPr>
        <w:t>Complaints received</w:t>
      </w:r>
      <w:bookmarkEnd w:id="31"/>
    </w:p>
    <w:p w:rsidR="00A841C4" w:rsidRPr="004D54E7" w:rsidRDefault="00A841C4" w:rsidP="00A841C4">
      <w:pPr>
        <w:rPr>
          <w:rFonts w:cs="Arial"/>
        </w:rPr>
      </w:pPr>
      <w:bookmarkStart w:id="32" w:name="_Toc471975248"/>
      <w:r>
        <w:rPr>
          <w:rFonts w:cs="Arial"/>
        </w:rPr>
        <w:t xml:space="preserve">The Northern B Committee did not receive any complaints about the decision making process in 2015. </w:t>
      </w:r>
    </w:p>
    <w:p w:rsidR="00A841C4" w:rsidRPr="00B96681" w:rsidRDefault="00A841C4" w:rsidP="00A841C4">
      <w:pPr>
        <w:pStyle w:val="Heading2"/>
        <w:rPr>
          <w:i w:val="0"/>
        </w:rPr>
      </w:pPr>
      <w:bookmarkStart w:id="33" w:name="_Toc526403849"/>
      <w:bookmarkEnd w:id="32"/>
      <w:r>
        <w:rPr>
          <w:i w:val="0"/>
        </w:rPr>
        <w:t xml:space="preserve">Overdue </w:t>
      </w:r>
      <w:r w:rsidR="00693DA8">
        <w:rPr>
          <w:i w:val="0"/>
        </w:rPr>
        <w:t>a</w:t>
      </w:r>
      <w:r>
        <w:rPr>
          <w:i w:val="0"/>
        </w:rPr>
        <w:t>pplications</w:t>
      </w:r>
      <w:bookmarkEnd w:id="33"/>
    </w:p>
    <w:p w:rsidR="00A841C4" w:rsidRPr="007D230E" w:rsidRDefault="00A841C4" w:rsidP="00A841C4">
      <w:pPr>
        <w:rPr>
          <w:rFonts w:cs="Arial"/>
        </w:rPr>
      </w:pPr>
      <w:r w:rsidRPr="007D230E">
        <w:rPr>
          <w:rFonts w:cs="Arial"/>
        </w:rPr>
        <w:t>During 2015</w:t>
      </w:r>
      <w:r w:rsidR="00693DA8">
        <w:rPr>
          <w:rFonts w:cs="Arial"/>
        </w:rPr>
        <w:t>,</w:t>
      </w:r>
      <w:r w:rsidRPr="007D230E">
        <w:rPr>
          <w:rFonts w:cs="Arial"/>
        </w:rPr>
        <w:t xml:space="preserve"> there were 16 instances where the review period was over 35 days for full applications and 14 where the review period was over 15 days for expedited applications. </w:t>
      </w:r>
    </w:p>
    <w:p w:rsidR="00A841C4" w:rsidRPr="007D230E" w:rsidRDefault="00A841C4" w:rsidP="00A841C4">
      <w:pPr>
        <w:rPr>
          <w:rFonts w:cs="Arial"/>
        </w:rPr>
      </w:pPr>
    </w:p>
    <w:p w:rsidR="00A841C4" w:rsidRPr="007D230E" w:rsidRDefault="00A841C4" w:rsidP="00A841C4">
      <w:pPr>
        <w:rPr>
          <w:rFonts w:cs="Arial"/>
        </w:rPr>
      </w:pPr>
      <w:r w:rsidRPr="007D230E">
        <w:rPr>
          <w:rFonts w:cs="Arial"/>
        </w:rPr>
        <w:t>See Appendix 1 for more information.</w:t>
      </w:r>
    </w:p>
    <w:p w:rsidR="0040216C" w:rsidRPr="00A841C4" w:rsidRDefault="0040216C" w:rsidP="00A841C4">
      <w:pPr>
        <w:rPr>
          <w:rFonts w:cs="Arial"/>
          <w:lang w:val="en-NZ"/>
        </w:rPr>
      </w:pPr>
      <w:r w:rsidRPr="007D230E">
        <w:rPr>
          <w:rFonts w:cs="Arial"/>
        </w:rPr>
        <w:br w:type="page"/>
      </w:r>
    </w:p>
    <w:bookmarkEnd w:id="25"/>
    <w:p w:rsidR="00356942" w:rsidRPr="007D230E" w:rsidRDefault="00356942" w:rsidP="00356942">
      <w:pPr>
        <w:pStyle w:val="Bullet"/>
        <w:numPr>
          <w:ilvl w:val="0"/>
          <w:numId w:val="0"/>
        </w:numPr>
        <w:spacing w:before="0"/>
        <w:ind w:left="567" w:hanging="567"/>
        <w:jc w:val="left"/>
        <w:rPr>
          <w:rFonts w:ascii="Arial" w:hAnsi="Arial" w:cs="Arial"/>
          <w:b/>
        </w:rPr>
        <w:sectPr w:rsidR="00356942" w:rsidRPr="007D230E" w:rsidSect="00553811">
          <w:footnotePr>
            <w:numRestart w:val="eachPage"/>
          </w:footnotePr>
          <w:type w:val="oddPage"/>
          <w:pgSz w:w="11906" w:h="16838"/>
          <w:pgMar w:top="1258" w:right="1826" w:bottom="1134" w:left="1800" w:header="709" w:footer="709" w:gutter="0"/>
          <w:pgNumType w:start="1"/>
          <w:cols w:space="708"/>
          <w:titlePg/>
          <w:docGrid w:linePitch="360"/>
        </w:sectPr>
      </w:pPr>
    </w:p>
    <w:p w:rsidR="0040216C" w:rsidRPr="007D230E" w:rsidRDefault="0040216C" w:rsidP="00445A67">
      <w:pPr>
        <w:pStyle w:val="Heading1"/>
        <w:rPr>
          <w:rFonts w:cs="Arial"/>
        </w:rPr>
      </w:pPr>
      <w:bookmarkStart w:id="34" w:name="_Toc271030697"/>
      <w:bookmarkStart w:id="35" w:name="_Toc526403850"/>
      <w:r w:rsidRPr="007D230E">
        <w:rPr>
          <w:rFonts w:cs="Arial"/>
        </w:rPr>
        <w:lastRenderedPageBreak/>
        <w:t>Appendix 1: Details of applications reviewed</w:t>
      </w:r>
      <w:bookmarkEnd w:id="34"/>
      <w:bookmarkEnd w:id="35"/>
    </w:p>
    <w:p w:rsidR="0040216C" w:rsidRPr="007D230E" w:rsidRDefault="0040216C" w:rsidP="00445A67">
      <w:pPr>
        <w:pStyle w:val="Heading2"/>
        <w:rPr>
          <w:i w:val="0"/>
        </w:rPr>
      </w:pPr>
      <w:bookmarkStart w:id="36" w:name="_Toc271030698"/>
      <w:bookmarkStart w:id="37" w:name="_Toc526403851"/>
      <w:r w:rsidRPr="007D230E">
        <w:rPr>
          <w:i w:val="0"/>
        </w:rPr>
        <w:t>Applications reviewed by full committee</w:t>
      </w:r>
      <w:bookmarkEnd w:id="36"/>
      <w:bookmarkEnd w:id="37"/>
    </w:p>
    <w:tbl>
      <w:tblPr>
        <w:tblStyle w:val="GridTable6Colorful"/>
        <w:tblW w:w="15027" w:type="dxa"/>
        <w:tblInd w:w="-714" w:type="dxa"/>
        <w:tblLook w:val="04A0" w:firstRow="1" w:lastRow="0" w:firstColumn="1" w:lastColumn="0" w:noHBand="0" w:noVBand="1"/>
      </w:tblPr>
      <w:tblGrid>
        <w:gridCol w:w="1418"/>
        <w:gridCol w:w="1339"/>
        <w:gridCol w:w="2914"/>
        <w:gridCol w:w="2062"/>
        <w:gridCol w:w="1482"/>
        <w:gridCol w:w="1305"/>
        <w:gridCol w:w="1247"/>
        <w:gridCol w:w="1558"/>
        <w:gridCol w:w="1702"/>
      </w:tblGrid>
      <w:tr w:rsidR="00A841C4" w:rsidRPr="00F57F1D" w:rsidTr="00A841C4">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b w:val="0"/>
                <w:bCs w:val="0"/>
                <w:color w:val="000000"/>
                <w:sz w:val="20"/>
                <w:szCs w:val="20"/>
                <w:lang w:val="en-NZ" w:eastAsia="en-NZ"/>
              </w:rPr>
            </w:pPr>
            <w:r w:rsidRPr="00F57F1D">
              <w:rPr>
                <w:rFonts w:cs="Arial"/>
                <w:color w:val="000000"/>
                <w:sz w:val="20"/>
                <w:szCs w:val="20"/>
                <w:lang w:val="en-NZ" w:eastAsia="en-NZ"/>
              </w:rPr>
              <w:t>Study reference</w:t>
            </w:r>
          </w:p>
        </w:tc>
        <w:tc>
          <w:tcPr>
            <w:tcW w:w="1339" w:type="dxa"/>
            <w:vAlign w:val="center"/>
            <w:hideMark/>
          </w:tcPr>
          <w:p w:rsidR="00A841C4" w:rsidRPr="00F57F1D" w:rsidRDefault="00A841C4" w:rsidP="00A841C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Study status</w:t>
            </w:r>
          </w:p>
        </w:tc>
        <w:tc>
          <w:tcPr>
            <w:tcW w:w="2914" w:type="dxa"/>
            <w:vAlign w:val="center"/>
            <w:hideMark/>
          </w:tcPr>
          <w:p w:rsidR="00A841C4" w:rsidRPr="00F57F1D" w:rsidRDefault="00A841C4" w:rsidP="00A841C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Short title</w:t>
            </w:r>
          </w:p>
        </w:tc>
        <w:tc>
          <w:tcPr>
            <w:tcW w:w="2062" w:type="dxa"/>
            <w:vAlign w:val="center"/>
            <w:hideMark/>
          </w:tcPr>
          <w:p w:rsidR="00A841C4" w:rsidRPr="00F57F1D" w:rsidRDefault="00A841C4" w:rsidP="00693DA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 xml:space="preserve">Co-ordinating </w:t>
            </w:r>
            <w:r w:rsidR="00693DA8">
              <w:rPr>
                <w:rFonts w:cs="Arial"/>
                <w:color w:val="000000"/>
                <w:sz w:val="20"/>
                <w:szCs w:val="20"/>
                <w:lang w:val="en-NZ" w:eastAsia="en-NZ"/>
              </w:rPr>
              <w:t>i</w:t>
            </w:r>
            <w:r w:rsidRPr="00F57F1D">
              <w:rPr>
                <w:rFonts w:cs="Arial"/>
                <w:color w:val="000000"/>
                <w:sz w:val="20"/>
                <w:szCs w:val="20"/>
                <w:lang w:val="en-NZ" w:eastAsia="en-NZ"/>
              </w:rPr>
              <w:t>nvestigator</w:t>
            </w:r>
          </w:p>
        </w:tc>
        <w:tc>
          <w:tcPr>
            <w:tcW w:w="1482" w:type="dxa"/>
            <w:vAlign w:val="center"/>
            <w:hideMark/>
          </w:tcPr>
          <w:p w:rsidR="00A841C4" w:rsidRPr="00F57F1D" w:rsidRDefault="00A841C4" w:rsidP="00A841C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Application type</w:t>
            </w:r>
          </w:p>
        </w:tc>
        <w:tc>
          <w:tcPr>
            <w:tcW w:w="1305" w:type="dxa"/>
            <w:vAlign w:val="center"/>
            <w:hideMark/>
          </w:tcPr>
          <w:p w:rsidR="00A841C4" w:rsidRPr="00F57F1D" w:rsidRDefault="00A841C4" w:rsidP="00693DA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 xml:space="preserve">Date </w:t>
            </w:r>
            <w:r w:rsidR="00693DA8">
              <w:rPr>
                <w:rFonts w:cs="Arial"/>
                <w:color w:val="000000"/>
                <w:sz w:val="20"/>
                <w:szCs w:val="20"/>
                <w:lang w:val="en-NZ" w:eastAsia="en-NZ"/>
              </w:rPr>
              <w:t>a</w:t>
            </w:r>
            <w:r w:rsidRPr="00F57F1D">
              <w:rPr>
                <w:rFonts w:cs="Arial"/>
                <w:color w:val="000000"/>
                <w:sz w:val="20"/>
                <w:szCs w:val="20"/>
                <w:lang w:val="en-NZ" w:eastAsia="en-NZ"/>
              </w:rPr>
              <w:t xml:space="preserve">pplication </w:t>
            </w:r>
            <w:r w:rsidR="00693DA8">
              <w:rPr>
                <w:rFonts w:cs="Arial"/>
                <w:color w:val="000000"/>
                <w:sz w:val="20"/>
                <w:szCs w:val="20"/>
                <w:lang w:val="en-NZ" w:eastAsia="en-NZ"/>
              </w:rPr>
              <w:t>v</w:t>
            </w:r>
            <w:r w:rsidRPr="00F57F1D">
              <w:rPr>
                <w:rFonts w:cs="Arial"/>
                <w:color w:val="000000"/>
                <w:sz w:val="20"/>
                <w:szCs w:val="20"/>
                <w:lang w:val="en-NZ" w:eastAsia="en-NZ"/>
              </w:rPr>
              <w:t>alidated</w:t>
            </w:r>
          </w:p>
        </w:tc>
        <w:tc>
          <w:tcPr>
            <w:tcW w:w="1247" w:type="dxa"/>
            <w:vAlign w:val="center"/>
            <w:hideMark/>
          </w:tcPr>
          <w:p w:rsidR="00A841C4" w:rsidRPr="00F57F1D" w:rsidRDefault="00A841C4" w:rsidP="00693DA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 xml:space="preserve">Date of </w:t>
            </w:r>
            <w:r w:rsidR="00693DA8">
              <w:rPr>
                <w:rFonts w:cs="Arial"/>
                <w:color w:val="000000"/>
                <w:sz w:val="20"/>
                <w:szCs w:val="20"/>
                <w:lang w:val="en-NZ" w:eastAsia="en-NZ"/>
              </w:rPr>
              <w:t>f</w:t>
            </w:r>
            <w:r w:rsidRPr="00F57F1D">
              <w:rPr>
                <w:rFonts w:cs="Arial"/>
                <w:color w:val="000000"/>
                <w:sz w:val="20"/>
                <w:szCs w:val="20"/>
                <w:lang w:val="en-NZ" w:eastAsia="en-NZ"/>
              </w:rPr>
              <w:t xml:space="preserve">irst </w:t>
            </w:r>
            <w:r w:rsidR="00693DA8">
              <w:rPr>
                <w:rFonts w:cs="Arial"/>
                <w:color w:val="000000"/>
                <w:sz w:val="20"/>
                <w:szCs w:val="20"/>
                <w:lang w:val="en-NZ" w:eastAsia="en-NZ"/>
              </w:rPr>
              <w:t>d</w:t>
            </w:r>
            <w:r w:rsidRPr="00F57F1D">
              <w:rPr>
                <w:rFonts w:cs="Arial"/>
                <w:color w:val="000000"/>
                <w:sz w:val="20"/>
                <w:szCs w:val="20"/>
                <w:lang w:val="en-NZ" w:eastAsia="en-NZ"/>
              </w:rPr>
              <w:t>ecision</w:t>
            </w:r>
          </w:p>
        </w:tc>
        <w:tc>
          <w:tcPr>
            <w:tcW w:w="1558" w:type="dxa"/>
            <w:vAlign w:val="center"/>
            <w:hideMark/>
          </w:tcPr>
          <w:p w:rsidR="00A841C4" w:rsidRPr="00F57F1D" w:rsidRDefault="00A841C4" w:rsidP="00693DA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 xml:space="preserve">Provisional </w:t>
            </w:r>
            <w:r w:rsidR="00693DA8">
              <w:rPr>
                <w:rFonts w:cs="Arial"/>
                <w:color w:val="000000"/>
                <w:sz w:val="20"/>
                <w:szCs w:val="20"/>
                <w:lang w:val="en-NZ" w:eastAsia="en-NZ"/>
              </w:rPr>
              <w:t>r</w:t>
            </w:r>
            <w:r w:rsidRPr="00F57F1D">
              <w:rPr>
                <w:rFonts w:cs="Arial"/>
                <w:color w:val="000000"/>
                <w:sz w:val="20"/>
                <w:szCs w:val="20"/>
                <w:lang w:val="en-NZ" w:eastAsia="en-NZ"/>
              </w:rPr>
              <w:t xml:space="preserve">esponse </w:t>
            </w:r>
            <w:r w:rsidR="00693DA8">
              <w:rPr>
                <w:rFonts w:cs="Arial"/>
                <w:color w:val="000000"/>
                <w:sz w:val="20"/>
                <w:szCs w:val="20"/>
                <w:lang w:val="en-NZ" w:eastAsia="en-NZ"/>
              </w:rPr>
              <w:t>r</w:t>
            </w:r>
            <w:r w:rsidRPr="00F57F1D">
              <w:rPr>
                <w:rFonts w:cs="Arial"/>
                <w:color w:val="000000"/>
                <w:sz w:val="20"/>
                <w:szCs w:val="20"/>
                <w:lang w:val="en-NZ" w:eastAsia="en-NZ"/>
              </w:rPr>
              <w:t>eceived</w:t>
            </w:r>
          </w:p>
        </w:tc>
        <w:tc>
          <w:tcPr>
            <w:tcW w:w="1702" w:type="dxa"/>
            <w:vAlign w:val="center"/>
            <w:hideMark/>
          </w:tcPr>
          <w:p w:rsidR="00A841C4" w:rsidRPr="00F57F1D" w:rsidRDefault="00A841C4" w:rsidP="00693DA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F57F1D">
              <w:rPr>
                <w:rFonts w:cs="Arial"/>
                <w:color w:val="000000"/>
                <w:sz w:val="20"/>
                <w:szCs w:val="20"/>
                <w:lang w:val="en-NZ" w:eastAsia="en-NZ"/>
              </w:rPr>
              <w:t xml:space="preserve">Date of final </w:t>
            </w:r>
            <w:r w:rsidR="00693DA8">
              <w:rPr>
                <w:rFonts w:cs="Arial"/>
                <w:color w:val="000000"/>
                <w:sz w:val="20"/>
                <w:szCs w:val="20"/>
                <w:lang w:val="en-NZ" w:eastAsia="en-NZ"/>
              </w:rPr>
              <w:t>d</w:t>
            </w:r>
            <w:r w:rsidRPr="00F57F1D">
              <w:rPr>
                <w:rFonts w:cs="Arial"/>
                <w:color w:val="000000"/>
                <w:sz w:val="20"/>
                <w:szCs w:val="20"/>
                <w:lang w:val="en-NZ" w:eastAsia="en-NZ"/>
              </w:rPr>
              <w:t>ecision</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15/NTB/11</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Fractional Flow Reserve (FFR)</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Professor Harvey White</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r>
      <w:tr w:rsidR="00A841C4" w:rsidRPr="00F57F1D" w:rsidTr="00A841C4">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15/NTB/14</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ADAPT</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John </w:t>
            </w:r>
            <w:proofErr w:type="spellStart"/>
            <w:r w:rsidRPr="00F57F1D">
              <w:rPr>
                <w:rFonts w:cs="Arial"/>
                <w:color w:val="000000"/>
                <w:sz w:val="20"/>
                <w:szCs w:val="20"/>
                <w:lang w:val="en-NZ" w:eastAsia="en-NZ"/>
              </w:rPr>
              <w:t>Beca</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r>
      <w:tr w:rsidR="00A841C4" w:rsidRPr="00F57F1D" w:rsidTr="00693DA8">
        <w:trPr>
          <w:cnfStyle w:val="000000100000" w:firstRow="0" w:lastRow="0" w:firstColumn="0" w:lastColumn="0" w:oddVBand="0" w:evenVBand="0" w:oddHBand="1"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15/NTB/19</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Pharmacokinetic and safety study of lower doses of </w:t>
            </w:r>
            <w:proofErr w:type="spellStart"/>
            <w:r w:rsidRPr="00F57F1D">
              <w:rPr>
                <w:rFonts w:cs="Arial"/>
                <w:color w:val="000000"/>
                <w:sz w:val="20"/>
                <w:szCs w:val="20"/>
                <w:lang w:val="en-NZ" w:eastAsia="en-NZ"/>
              </w:rPr>
              <w:t>ceritinib</w:t>
            </w:r>
            <w:proofErr w:type="spellEnd"/>
            <w:r w:rsidRPr="00F57F1D">
              <w:rPr>
                <w:rFonts w:cs="Arial"/>
                <w:color w:val="000000"/>
                <w:sz w:val="20"/>
                <w:szCs w:val="20"/>
                <w:lang w:val="en-NZ" w:eastAsia="en-NZ"/>
              </w:rPr>
              <w:t xml:space="preserve"> taken with a low-fat meal versus 750 mg of </w:t>
            </w:r>
            <w:proofErr w:type="spellStart"/>
            <w:r w:rsidRPr="00F57F1D">
              <w:rPr>
                <w:rFonts w:cs="Arial"/>
                <w:color w:val="000000"/>
                <w:sz w:val="20"/>
                <w:szCs w:val="20"/>
                <w:lang w:val="en-NZ" w:eastAsia="en-NZ"/>
              </w:rPr>
              <w:t>ceritinib</w:t>
            </w:r>
            <w:proofErr w:type="spellEnd"/>
            <w:r w:rsidRPr="00F57F1D">
              <w:rPr>
                <w:rFonts w:cs="Arial"/>
                <w:color w:val="000000"/>
                <w:sz w:val="20"/>
                <w:szCs w:val="20"/>
                <w:lang w:val="en-NZ" w:eastAsia="en-NZ"/>
              </w:rPr>
              <w:t xml:space="preserve"> in the fasted state in adult patients with (ALK-positive) metastatic non-small cell </w:t>
            </w:r>
            <w:proofErr w:type="spellStart"/>
            <w:r w:rsidRPr="00F57F1D">
              <w:rPr>
                <w:rFonts w:cs="Arial"/>
                <w:color w:val="000000"/>
                <w:sz w:val="20"/>
                <w:szCs w:val="20"/>
                <w:lang w:val="en-NZ" w:eastAsia="en-NZ"/>
              </w:rPr>
              <w:t>lu</w:t>
            </w:r>
            <w:proofErr w:type="spellEnd"/>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Professor Mark </w:t>
            </w:r>
            <w:proofErr w:type="spellStart"/>
            <w:r w:rsidRPr="00F57F1D">
              <w:rPr>
                <w:rFonts w:cs="Arial"/>
                <w:color w:val="000000"/>
                <w:sz w:val="20"/>
                <w:szCs w:val="20"/>
                <w:lang w:val="en-NZ" w:eastAsia="en-NZ"/>
              </w:rPr>
              <w:t>McKeage</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20/02/2015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11/03/2015</w:t>
            </w:r>
          </w:p>
        </w:tc>
      </w:tr>
      <w:tr w:rsidR="00A841C4" w:rsidRPr="00F57F1D" w:rsidTr="00A841C4">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Neurogenic mechanisms in asthma</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 </w:t>
            </w:r>
            <w:proofErr w:type="spellStart"/>
            <w:r w:rsidRPr="00F57F1D">
              <w:rPr>
                <w:rFonts w:cs="Arial"/>
                <w:color w:val="000000"/>
                <w:sz w:val="20"/>
                <w:szCs w:val="20"/>
                <w:lang w:val="en-NZ" w:eastAsia="en-NZ"/>
              </w:rPr>
              <w:t>Jeroen</w:t>
            </w:r>
            <w:proofErr w:type="spellEnd"/>
            <w:r w:rsidRPr="00F57F1D">
              <w:rPr>
                <w:rFonts w:cs="Arial"/>
                <w:color w:val="000000"/>
                <w:sz w:val="20"/>
                <w:szCs w:val="20"/>
                <w:lang w:val="en-NZ" w:eastAsia="en-NZ"/>
              </w:rPr>
              <w:t xml:space="preserve"> </w:t>
            </w:r>
            <w:proofErr w:type="spellStart"/>
            <w:r w:rsidRPr="00F57F1D">
              <w:rPr>
                <w:rFonts w:cs="Arial"/>
                <w:color w:val="000000"/>
                <w:sz w:val="20"/>
                <w:szCs w:val="20"/>
                <w:lang w:val="en-NZ" w:eastAsia="en-NZ"/>
              </w:rPr>
              <w:t>Douwes</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30/03/2015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10/04/2015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TV46017-COPD-10046</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Dean Quinn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26/02/2015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12/03/2015</w:t>
            </w:r>
          </w:p>
        </w:tc>
      </w:tr>
      <w:tr w:rsidR="00A841C4" w:rsidRPr="00F57F1D" w:rsidTr="00A841C4">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15/NTB/21</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Gliclazide</w:t>
            </w:r>
            <w:proofErr w:type="spellEnd"/>
            <w:r w:rsidRPr="00F57F1D">
              <w:rPr>
                <w:rFonts w:cs="Arial"/>
                <w:color w:val="000000"/>
                <w:sz w:val="20"/>
                <w:szCs w:val="20"/>
                <w:lang w:val="en-NZ" w:eastAsia="en-NZ"/>
              </w:rPr>
              <w:t xml:space="preserve"> 30 mg bioequivalence study conducted under fasting conditions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Noelyn</w:t>
            </w:r>
            <w:proofErr w:type="spellEnd"/>
            <w:r w:rsidRPr="00F57F1D">
              <w:rPr>
                <w:rFonts w:cs="Arial"/>
                <w:color w:val="000000"/>
                <w:sz w:val="20"/>
                <w:szCs w:val="20"/>
                <w:lang w:val="en-NZ" w:eastAsia="en-NZ"/>
              </w:rPr>
              <w:t xml:space="preserve"> Hung</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r>
      <w:tr w:rsidR="00A841C4" w:rsidRPr="00F57F1D" w:rsidTr="00693DA8">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15/NTB/22</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Decline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Why do Australian women have better breast cancer survival ratios than NZ women?</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Rachael Flanagan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r>
      <w:tr w:rsidR="00A841C4" w:rsidRPr="00F57F1D" w:rsidTr="00A841C4">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HIMS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Helen </w:t>
            </w:r>
            <w:proofErr w:type="spellStart"/>
            <w:r w:rsidRPr="00F57F1D">
              <w:rPr>
                <w:rFonts w:cs="Arial"/>
                <w:color w:val="000000"/>
                <w:sz w:val="20"/>
                <w:szCs w:val="20"/>
                <w:lang w:val="en-NZ" w:eastAsia="en-NZ"/>
              </w:rPr>
              <w:t>Petousis</w:t>
            </w:r>
            <w:proofErr w:type="spellEnd"/>
            <w:r w:rsidRPr="00F57F1D">
              <w:rPr>
                <w:rFonts w:cs="Arial"/>
                <w:color w:val="000000"/>
                <w:sz w:val="20"/>
                <w:szCs w:val="20"/>
                <w:lang w:val="en-NZ" w:eastAsia="en-NZ"/>
              </w:rPr>
              <w:t>-Harris</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6/03/2015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12/03/2015</w:t>
            </w:r>
          </w:p>
        </w:tc>
      </w:tr>
      <w:tr w:rsidR="00A841C4" w:rsidRPr="00F57F1D" w:rsidTr="00693DA8">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15/NTB/7</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 study of airway and lung </w:t>
            </w:r>
            <w:proofErr w:type="spellStart"/>
            <w:r w:rsidRPr="00F57F1D">
              <w:rPr>
                <w:rFonts w:cs="Arial"/>
                <w:color w:val="000000"/>
                <w:sz w:val="20"/>
                <w:szCs w:val="20"/>
                <w:lang w:val="en-NZ" w:eastAsia="en-NZ"/>
              </w:rPr>
              <w:t>microbiome</w:t>
            </w:r>
            <w:proofErr w:type="spellEnd"/>
            <w:r w:rsidRPr="00F57F1D">
              <w:rPr>
                <w:rFonts w:cs="Arial"/>
                <w:color w:val="000000"/>
                <w:sz w:val="20"/>
                <w:szCs w:val="20"/>
                <w:lang w:val="en-NZ" w:eastAsia="en-NZ"/>
              </w:rPr>
              <w:t xml:space="preserve"> in children with bronchiectasis</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NAVEEN PILLARISETTI</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22/01/2015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9/02/2015</w:t>
            </w:r>
          </w:p>
        </w:tc>
      </w:tr>
      <w:tr w:rsidR="00A841C4" w:rsidRPr="00F57F1D" w:rsidTr="00A841C4">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15/NTB/32</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The Juniper Study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Professor Richard </w:t>
            </w:r>
            <w:proofErr w:type="spellStart"/>
            <w:r w:rsidRPr="00F57F1D">
              <w:rPr>
                <w:rFonts w:cs="Arial"/>
                <w:color w:val="000000"/>
                <w:sz w:val="20"/>
                <w:szCs w:val="20"/>
                <w:lang w:val="en-NZ" w:eastAsia="en-NZ"/>
              </w:rPr>
              <w:t>Gearry</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28/04/2015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15/NTB/33</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Baby Spice CONSENT Study</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Miss Claire </w:t>
            </w:r>
            <w:proofErr w:type="spellStart"/>
            <w:r w:rsidRPr="00F57F1D">
              <w:rPr>
                <w:rFonts w:cs="Arial"/>
                <w:color w:val="000000"/>
                <w:sz w:val="20"/>
                <w:szCs w:val="20"/>
                <w:lang w:val="en-NZ" w:eastAsia="en-NZ"/>
              </w:rPr>
              <w:t>Sherring</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20/03/2015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7/04/2015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15/NTB/34</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MyHealth</w:t>
            </w:r>
            <w:proofErr w:type="spellEnd"/>
            <w:r w:rsidRPr="00F57F1D">
              <w:rPr>
                <w:rFonts w:cs="Arial"/>
                <w:color w:val="000000"/>
                <w:sz w:val="20"/>
                <w:szCs w:val="20"/>
                <w:lang w:val="en-NZ" w:eastAsia="en-NZ"/>
              </w:rPr>
              <w:t xml:space="preserve"> e-Body Study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Dr.</w:t>
            </w:r>
            <w:proofErr w:type="spellEnd"/>
            <w:r w:rsidRPr="00F57F1D">
              <w:rPr>
                <w:rFonts w:cs="Arial"/>
                <w:color w:val="000000"/>
                <w:sz w:val="20"/>
                <w:szCs w:val="20"/>
                <w:lang w:val="en-NZ" w:eastAsia="en-NZ"/>
              </w:rPr>
              <w:t xml:space="preserve"> Patrick Gladding</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13/03/2015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1/04/2015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15/NTB/35</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Safety of </w:t>
            </w:r>
            <w:proofErr w:type="spellStart"/>
            <w:r w:rsidRPr="00F57F1D">
              <w:rPr>
                <w:rFonts w:cs="Arial"/>
                <w:color w:val="000000"/>
                <w:sz w:val="20"/>
                <w:szCs w:val="20"/>
                <w:lang w:val="en-NZ" w:eastAsia="en-NZ"/>
              </w:rPr>
              <w:t>Tiotropium</w:t>
            </w:r>
            <w:proofErr w:type="spellEnd"/>
            <w:r w:rsidRPr="00F57F1D">
              <w:rPr>
                <w:rFonts w:cs="Arial"/>
                <w:color w:val="000000"/>
                <w:sz w:val="20"/>
                <w:szCs w:val="20"/>
                <w:lang w:val="en-NZ" w:eastAsia="en-NZ"/>
              </w:rPr>
              <w:t xml:space="preserve"> prescription in COPD</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Prof Richard Beasley</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17/03/2015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20/03/2015</w:t>
            </w:r>
          </w:p>
        </w:tc>
      </w:tr>
      <w:tr w:rsidR="00A841C4" w:rsidRPr="00F57F1D" w:rsidTr="00A841C4">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15/NTB/37</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Health and wealth in chronic kidney disease</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Tonya Kara</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2/06/2015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11/06/2015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15/NTB/38</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The Bergamot Study</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Professor Richard </w:t>
            </w:r>
            <w:proofErr w:type="spellStart"/>
            <w:r w:rsidRPr="00F57F1D">
              <w:rPr>
                <w:rFonts w:cs="Arial"/>
                <w:color w:val="000000"/>
                <w:sz w:val="20"/>
                <w:szCs w:val="20"/>
                <w:lang w:val="en-NZ" w:eastAsia="en-NZ"/>
              </w:rPr>
              <w:t>Gearry</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28/04/2015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2/06/2015</w:t>
            </w:r>
          </w:p>
        </w:tc>
      </w:tr>
      <w:tr w:rsidR="00A841C4" w:rsidRPr="00F57F1D" w:rsidTr="00693DA8">
        <w:trPr>
          <w:trHeight w:val="90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15/NTB/39</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Effect of Barrier Gel on </w:t>
            </w:r>
            <w:proofErr w:type="spellStart"/>
            <w:r w:rsidRPr="00F57F1D">
              <w:rPr>
                <w:rFonts w:cs="Arial"/>
                <w:color w:val="000000"/>
                <w:sz w:val="20"/>
                <w:szCs w:val="20"/>
                <w:lang w:val="en-NZ" w:eastAsia="en-NZ"/>
              </w:rPr>
              <w:t>Buccal</w:t>
            </w:r>
            <w:proofErr w:type="spellEnd"/>
            <w:r w:rsidRPr="00F57F1D">
              <w:rPr>
                <w:rFonts w:cs="Arial"/>
                <w:color w:val="000000"/>
                <w:sz w:val="20"/>
                <w:szCs w:val="20"/>
                <w:lang w:val="en-NZ" w:eastAsia="en-NZ"/>
              </w:rPr>
              <w:t xml:space="preserve"> Mucosal Graft Harvest Site Morbidity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Vincent Chong</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17/03/2015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7/04/2015</w:t>
            </w:r>
          </w:p>
        </w:tc>
      </w:tr>
      <w:tr w:rsidR="00A841C4" w:rsidRPr="00F57F1D" w:rsidTr="00693DA8">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15/NTB/40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RHB-104-01: Efficacy and Safety of Anti-MAP Therapy in Adult </w:t>
            </w:r>
            <w:proofErr w:type="spellStart"/>
            <w:r w:rsidRPr="00F57F1D">
              <w:rPr>
                <w:rFonts w:cs="Arial"/>
                <w:color w:val="000000"/>
                <w:sz w:val="20"/>
                <w:szCs w:val="20"/>
                <w:lang w:val="en-NZ" w:eastAsia="en-NZ"/>
              </w:rPr>
              <w:t>Crohn's</w:t>
            </w:r>
            <w:proofErr w:type="spellEnd"/>
            <w:r w:rsidRPr="00F57F1D">
              <w:rPr>
                <w:rFonts w:cs="Arial"/>
                <w:color w:val="000000"/>
                <w:sz w:val="20"/>
                <w:szCs w:val="20"/>
                <w:lang w:val="en-NZ" w:eastAsia="en-NZ"/>
              </w:rPr>
              <w:t xml:space="preserve"> Disease</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Professor Richard </w:t>
            </w:r>
            <w:proofErr w:type="spellStart"/>
            <w:r w:rsidRPr="00F57F1D">
              <w:rPr>
                <w:rFonts w:cs="Arial"/>
                <w:color w:val="000000"/>
                <w:sz w:val="20"/>
                <w:szCs w:val="20"/>
                <w:lang w:val="en-NZ" w:eastAsia="en-NZ"/>
              </w:rPr>
              <w:t>Gearry</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30/03/2015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4/05/2015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15/NTB/41</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TV48108-COPD-10045</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Michael </w:t>
            </w:r>
            <w:proofErr w:type="spellStart"/>
            <w:r w:rsidRPr="00F57F1D">
              <w:rPr>
                <w:rFonts w:cs="Arial"/>
                <w:color w:val="000000"/>
                <w:sz w:val="20"/>
                <w:szCs w:val="20"/>
                <w:lang w:val="en-NZ" w:eastAsia="en-NZ"/>
              </w:rPr>
              <w:t>Epton</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21/04/2015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4/05/2015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15/NTB/42</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FUTuRE</w:t>
            </w:r>
            <w:proofErr w:type="spellEnd"/>
            <w:r w:rsidRPr="00F57F1D">
              <w:rPr>
                <w:rFonts w:cs="Arial"/>
                <w:color w:val="000000"/>
                <w:sz w:val="20"/>
                <w:szCs w:val="20"/>
                <w:lang w:val="en-NZ" w:eastAsia="en-NZ"/>
              </w:rPr>
              <w:t xml:space="preserve"> Fertility</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Tristan Pettit</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1/04/2015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13/04/2015</w:t>
            </w:r>
          </w:p>
        </w:tc>
      </w:tr>
      <w:tr w:rsidR="00A841C4" w:rsidRPr="00F57F1D" w:rsidTr="00693DA8">
        <w:trPr>
          <w:trHeight w:val="8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15/NTB/44</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Why do Australian women have better breast cancer survival ratios than NZ women?</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Rachael Flanagan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19/02/2015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5/03/2015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15/NTB/49</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KIWI</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David Simpson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21/04/2015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29/04/2015</w:t>
            </w:r>
          </w:p>
        </w:tc>
      </w:tr>
      <w:tr w:rsidR="00A841C4" w:rsidRPr="00F57F1D" w:rsidTr="00693DA8">
        <w:trPr>
          <w:trHeight w:val="98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15/NTB/52</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Proton Pump Inhibitors vs. Histamine-2 </w:t>
            </w:r>
            <w:proofErr w:type="spellStart"/>
            <w:r w:rsidRPr="00F57F1D">
              <w:rPr>
                <w:rFonts w:cs="Arial"/>
                <w:color w:val="000000"/>
                <w:sz w:val="20"/>
                <w:szCs w:val="20"/>
                <w:lang w:val="en-NZ" w:eastAsia="en-NZ"/>
              </w:rPr>
              <w:t>REceptor</w:t>
            </w:r>
            <w:proofErr w:type="spellEnd"/>
            <w:r w:rsidRPr="00F57F1D">
              <w:rPr>
                <w:rFonts w:cs="Arial"/>
                <w:color w:val="000000"/>
                <w:sz w:val="20"/>
                <w:szCs w:val="20"/>
                <w:lang w:val="en-NZ" w:eastAsia="en-NZ"/>
              </w:rPr>
              <w:t xml:space="preserve"> Blockers for Ulcer Prophylaxis Therapy in the Intensive Care Unit (PEPTIC)</w:t>
            </w:r>
          </w:p>
        </w:tc>
        <w:tc>
          <w:tcPr>
            <w:tcW w:w="2062" w:type="dxa"/>
            <w:vAlign w:val="center"/>
            <w:hideMark/>
          </w:tcPr>
          <w:p w:rsidR="00A841C4" w:rsidRPr="00F57F1D" w:rsidRDefault="00693DA8"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D</w:t>
            </w:r>
            <w:r w:rsidR="00A841C4" w:rsidRPr="00F57F1D">
              <w:rPr>
                <w:rFonts w:cs="Arial"/>
                <w:color w:val="000000"/>
                <w:sz w:val="20"/>
                <w:szCs w:val="20"/>
                <w:lang w:val="en-NZ" w:eastAsia="en-NZ"/>
              </w:rPr>
              <w:t xml:space="preserve">r </w:t>
            </w:r>
            <w:proofErr w:type="spellStart"/>
            <w:r w:rsidR="00A841C4" w:rsidRPr="00F57F1D">
              <w:rPr>
                <w:rFonts w:cs="Arial"/>
                <w:color w:val="000000"/>
                <w:sz w:val="20"/>
                <w:szCs w:val="20"/>
                <w:lang w:val="en-NZ" w:eastAsia="en-NZ"/>
              </w:rPr>
              <w:t>paul</w:t>
            </w:r>
            <w:proofErr w:type="spellEnd"/>
            <w:r w:rsidR="00A841C4" w:rsidRPr="00F57F1D">
              <w:rPr>
                <w:rFonts w:cs="Arial"/>
                <w:color w:val="000000"/>
                <w:sz w:val="20"/>
                <w:szCs w:val="20"/>
                <w:lang w:val="en-NZ" w:eastAsia="en-NZ"/>
              </w:rPr>
              <w:t xml:space="preserve"> young</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15/NTB/53</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693DA8"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Ketamine f</w:t>
            </w:r>
            <w:r w:rsidRPr="00F57F1D">
              <w:rPr>
                <w:rFonts w:cs="Arial"/>
                <w:color w:val="000000"/>
                <w:sz w:val="20"/>
                <w:szCs w:val="20"/>
                <w:lang w:val="en-NZ" w:eastAsia="en-NZ"/>
              </w:rPr>
              <w:t>or Depression</w:t>
            </w:r>
          </w:p>
        </w:tc>
        <w:tc>
          <w:tcPr>
            <w:tcW w:w="2062" w:type="dxa"/>
            <w:vAlign w:val="center"/>
            <w:hideMark/>
          </w:tcPr>
          <w:p w:rsidR="00A841C4" w:rsidRPr="00F57F1D" w:rsidRDefault="00A841C4" w:rsidP="00693DA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w:t>
            </w:r>
            <w:r w:rsidR="00693DA8">
              <w:rPr>
                <w:rFonts w:cs="Arial"/>
                <w:color w:val="000000"/>
                <w:sz w:val="20"/>
                <w:szCs w:val="20"/>
                <w:lang w:val="en-NZ" w:eastAsia="en-NZ"/>
              </w:rPr>
              <w:t>r</w:t>
            </w:r>
            <w:r w:rsidRPr="00F57F1D">
              <w:rPr>
                <w:rFonts w:cs="Arial"/>
                <w:color w:val="000000"/>
                <w:sz w:val="20"/>
                <w:szCs w:val="20"/>
                <w:lang w:val="en-NZ" w:eastAsia="en-NZ"/>
              </w:rPr>
              <w:t xml:space="preserve"> Suresh </w:t>
            </w:r>
            <w:proofErr w:type="spellStart"/>
            <w:r w:rsidRPr="00F57F1D">
              <w:rPr>
                <w:rFonts w:cs="Arial"/>
                <w:color w:val="000000"/>
                <w:sz w:val="20"/>
                <w:szCs w:val="20"/>
                <w:lang w:val="en-NZ" w:eastAsia="en-NZ"/>
              </w:rPr>
              <w:t>Muthukumaraswamy</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13/05/2015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14/05/2015</w:t>
            </w:r>
          </w:p>
        </w:tc>
      </w:tr>
      <w:tr w:rsidR="00A841C4" w:rsidRPr="00F57F1D" w:rsidTr="00693DA8">
        <w:trPr>
          <w:trHeight w:val="608"/>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15/NTB/54</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Acupuncture in addition to usual care for chronic low back pain: A feasibility study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Ms </w:t>
            </w:r>
            <w:proofErr w:type="spellStart"/>
            <w:r w:rsidRPr="00F57F1D">
              <w:rPr>
                <w:rFonts w:cs="Arial"/>
                <w:color w:val="000000"/>
                <w:sz w:val="20"/>
                <w:szCs w:val="20"/>
                <w:lang w:val="en-NZ" w:eastAsia="en-NZ"/>
              </w:rPr>
              <w:t>Lizhou</w:t>
            </w:r>
            <w:proofErr w:type="spellEnd"/>
            <w:r w:rsidRPr="00F57F1D">
              <w:rPr>
                <w:rFonts w:cs="Arial"/>
                <w:color w:val="000000"/>
                <w:sz w:val="20"/>
                <w:szCs w:val="20"/>
                <w:lang w:val="en-NZ" w:eastAsia="en-NZ"/>
              </w:rPr>
              <w:t xml:space="preserve"> Liu</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29/04/2015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14/05/2015</w:t>
            </w:r>
          </w:p>
        </w:tc>
      </w:tr>
      <w:tr w:rsidR="00A841C4" w:rsidRPr="00F57F1D" w:rsidTr="00693DA8">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15/NTB/55</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Comparison of Fluid Restriction with Urea for inpatient management of SIADH</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Sonakshi</w:t>
            </w:r>
            <w:proofErr w:type="spellEnd"/>
            <w:r w:rsidRPr="00F57F1D">
              <w:rPr>
                <w:rFonts w:cs="Arial"/>
                <w:color w:val="000000"/>
                <w:sz w:val="20"/>
                <w:szCs w:val="20"/>
                <w:lang w:val="en-NZ" w:eastAsia="en-NZ"/>
              </w:rPr>
              <w:t xml:space="preserve"> Sharma</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15/NTB/56</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Electronic Cigarettes and Nicotine Content</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Randolph Grace</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5/05/2015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14/05/2015</w:t>
            </w:r>
          </w:p>
        </w:tc>
      </w:tr>
      <w:tr w:rsidR="00A841C4" w:rsidRPr="00F57F1D" w:rsidTr="00693DA8">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15/NTB/57</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 study comparing how fast the trial drug GS-9857 is cleared from the body, in healthy adults and in adults with se</w:t>
            </w:r>
            <w:r w:rsidR="00693DA8">
              <w:rPr>
                <w:rFonts w:cs="Arial"/>
                <w:color w:val="000000"/>
                <w:sz w:val="20"/>
                <w:szCs w:val="20"/>
                <w:lang w:val="en-NZ" w:eastAsia="en-NZ"/>
              </w:rPr>
              <w:t>verely reduced kidney function</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Richard Robson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4/05/2015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20/05/2015</w:t>
            </w:r>
          </w:p>
        </w:tc>
      </w:tr>
      <w:tr w:rsidR="00A841C4" w:rsidRPr="00F57F1D" w:rsidTr="00693DA8">
        <w:trPr>
          <w:trHeight w:val="1527"/>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15/NTB/58</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 Phase 2 Study to Investigate the </w:t>
            </w:r>
            <w:proofErr w:type="spellStart"/>
            <w:r w:rsidRPr="00F57F1D">
              <w:rPr>
                <w:rFonts w:cs="Arial"/>
                <w:color w:val="000000"/>
                <w:sz w:val="20"/>
                <w:szCs w:val="20"/>
                <w:lang w:val="en-NZ" w:eastAsia="en-NZ"/>
              </w:rPr>
              <w:t>Safety,Tolerability</w:t>
            </w:r>
            <w:proofErr w:type="spellEnd"/>
            <w:r w:rsidRPr="00F57F1D">
              <w:rPr>
                <w:rFonts w:cs="Arial"/>
                <w:color w:val="000000"/>
                <w:sz w:val="20"/>
                <w:szCs w:val="20"/>
                <w:lang w:val="en-NZ" w:eastAsia="en-NZ"/>
              </w:rPr>
              <w:t xml:space="preserve"> and Efficacy of ABT-122 in Subjects with Active Psoriatic Arthritis Who Have an Inadequate Response to Methotrexate</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Douglas White</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15/05/2015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2/06/2015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15/NTB/59</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MENZACS</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Associate Professor Malcolm </w:t>
            </w:r>
            <w:proofErr w:type="spellStart"/>
            <w:r w:rsidRPr="00F57F1D">
              <w:rPr>
                <w:rFonts w:cs="Arial"/>
                <w:color w:val="000000"/>
                <w:sz w:val="20"/>
                <w:szCs w:val="20"/>
                <w:lang w:val="en-NZ" w:eastAsia="en-NZ"/>
              </w:rPr>
              <w:t>Legget</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r>
      <w:tr w:rsidR="00A841C4" w:rsidRPr="00F57F1D" w:rsidTr="009872A1">
        <w:trPr>
          <w:trHeight w:val="183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15/NTB/60</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M13-740: A Study of ABT-494 for the Induction and Remission for Subjects with </w:t>
            </w:r>
            <w:proofErr w:type="spellStart"/>
            <w:r w:rsidRPr="00F57F1D">
              <w:rPr>
                <w:rFonts w:cs="Arial"/>
                <w:color w:val="000000"/>
                <w:sz w:val="20"/>
                <w:szCs w:val="20"/>
                <w:lang w:val="en-NZ" w:eastAsia="en-NZ"/>
              </w:rPr>
              <w:t>Crohn's</w:t>
            </w:r>
            <w:proofErr w:type="spellEnd"/>
            <w:r w:rsidRPr="00F57F1D">
              <w:rPr>
                <w:rFonts w:cs="Arial"/>
                <w:color w:val="000000"/>
                <w:sz w:val="20"/>
                <w:szCs w:val="20"/>
                <w:lang w:val="en-NZ" w:eastAsia="en-NZ"/>
              </w:rPr>
              <w:t xml:space="preserve"> Disease who are an Inadequate Responder or</w:t>
            </w:r>
            <w:r w:rsidR="00693DA8">
              <w:rPr>
                <w:rFonts w:cs="Arial"/>
                <w:color w:val="000000"/>
                <w:sz w:val="20"/>
                <w:szCs w:val="20"/>
                <w:lang w:val="en-NZ" w:eastAsia="en-NZ"/>
              </w:rPr>
              <w:t xml:space="preserve"> Intolerant to Anti-TNF Therapy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Assoc. Prof Richard </w:t>
            </w:r>
            <w:proofErr w:type="spellStart"/>
            <w:r w:rsidRPr="00F57F1D">
              <w:rPr>
                <w:rFonts w:cs="Arial"/>
                <w:color w:val="000000"/>
                <w:sz w:val="20"/>
                <w:szCs w:val="20"/>
                <w:lang w:val="en-NZ" w:eastAsia="en-NZ"/>
              </w:rPr>
              <w:t>Gearry</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7/05/2015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20/05/2015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15/NTB/61</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 study comparing how fast the trial drug GS-9883 is cleared from the body, in healthy adults and in adults with reduced kidney function.</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Richard Robson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4/05/2015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20/05/2015</w:t>
            </w:r>
          </w:p>
        </w:tc>
      </w:tr>
      <w:tr w:rsidR="00A841C4" w:rsidRPr="00F57F1D" w:rsidTr="009872A1">
        <w:trPr>
          <w:trHeight w:val="838"/>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15/NTB/62</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Pharmacokinetics and safety of ABT-493 and ABT-530 in renal impairment</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Michael Collins</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26/03/2015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9/04/2015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21/04/2015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29/04/2015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15/NTB/72</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Initial presentation of central serous </w:t>
            </w:r>
            <w:proofErr w:type="spellStart"/>
            <w:r w:rsidRPr="00F57F1D">
              <w:rPr>
                <w:rFonts w:cs="Arial"/>
                <w:color w:val="000000"/>
                <w:sz w:val="20"/>
                <w:szCs w:val="20"/>
                <w:lang w:val="en-NZ" w:eastAsia="en-NZ"/>
              </w:rPr>
              <w:t>chorioretinopathy</w:t>
            </w:r>
            <w:proofErr w:type="spellEnd"/>
            <w:r w:rsidRPr="00F57F1D">
              <w:rPr>
                <w:rFonts w:cs="Arial"/>
                <w:color w:val="000000"/>
                <w:sz w:val="20"/>
                <w:szCs w:val="20"/>
                <w:lang w:val="en-NZ" w:eastAsia="en-NZ"/>
              </w:rPr>
              <w:t xml:space="preserve"> to a tertiary Ophthalmology Department in New Zealand</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Dr.</w:t>
            </w:r>
            <w:proofErr w:type="spellEnd"/>
            <w:r w:rsidRPr="00F57F1D">
              <w:rPr>
                <w:rFonts w:cs="Arial"/>
                <w:color w:val="000000"/>
                <w:sz w:val="20"/>
                <w:szCs w:val="20"/>
                <w:lang w:val="en-NZ" w:eastAsia="en-NZ"/>
              </w:rPr>
              <w:t xml:space="preserve"> David </w:t>
            </w:r>
            <w:proofErr w:type="spellStart"/>
            <w:r w:rsidRPr="00F57F1D">
              <w:rPr>
                <w:rFonts w:cs="Arial"/>
                <w:color w:val="000000"/>
                <w:sz w:val="20"/>
                <w:szCs w:val="20"/>
                <w:lang w:val="en-NZ" w:eastAsia="en-NZ"/>
              </w:rPr>
              <w:t>Squirrell</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8/04/2015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29/04/2015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1/05/2015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20/05/2015</w:t>
            </w:r>
          </w:p>
        </w:tc>
      </w:tr>
      <w:tr w:rsidR="00A841C4" w:rsidRPr="00F57F1D" w:rsidTr="009872A1">
        <w:trPr>
          <w:trHeight w:val="75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15/NTB/88</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Improving the breast cancer journey for women with experience of mental illness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Ruth Cunningham</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7/07/2015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13/07/2015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M14-198 - A Phase 2, </w:t>
            </w:r>
            <w:proofErr w:type="spellStart"/>
            <w:r w:rsidRPr="00F57F1D">
              <w:rPr>
                <w:rFonts w:cs="Arial"/>
                <w:color w:val="000000"/>
                <w:sz w:val="20"/>
                <w:szCs w:val="20"/>
                <w:lang w:val="en-NZ" w:eastAsia="en-NZ"/>
              </w:rPr>
              <w:t>Multicenter</w:t>
            </w:r>
            <w:proofErr w:type="spellEnd"/>
            <w:r w:rsidRPr="00F57F1D">
              <w:rPr>
                <w:rFonts w:cs="Arial"/>
                <w:color w:val="000000"/>
                <w:sz w:val="20"/>
                <w:szCs w:val="20"/>
                <w:lang w:val="en-NZ" w:eastAsia="en-NZ"/>
              </w:rPr>
              <w:t>, Open-Label Extension(OLE) Study with ABT-122 in Active Psoriatic Arthritis Subjects Who Have Completed a Preceding Study M14-197 Phase</w:t>
            </w:r>
            <w:r w:rsidR="009872A1">
              <w:rPr>
                <w:rFonts w:cs="Arial"/>
                <w:color w:val="000000"/>
                <w:sz w:val="20"/>
                <w:szCs w:val="20"/>
                <w:lang w:val="en-NZ" w:eastAsia="en-NZ"/>
              </w:rPr>
              <w:t xml:space="preserve"> 2 Randomized Controlled Trial</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Douglas White</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20/07/2015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15/NTB/91</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9872A1"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Foley Catheter Study</w:t>
            </w:r>
          </w:p>
        </w:tc>
        <w:tc>
          <w:tcPr>
            <w:tcW w:w="2062" w:type="dxa"/>
            <w:vAlign w:val="center"/>
            <w:hideMark/>
          </w:tcPr>
          <w:p w:rsidR="00A841C4" w:rsidRPr="00F57F1D" w:rsidRDefault="00A841C4" w:rsidP="009872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Suheelan</w:t>
            </w:r>
            <w:proofErr w:type="spellEnd"/>
            <w:r w:rsidRPr="00F57F1D">
              <w:rPr>
                <w:rFonts w:cs="Arial"/>
                <w:color w:val="000000"/>
                <w:sz w:val="20"/>
                <w:szCs w:val="20"/>
                <w:lang w:val="en-NZ" w:eastAsia="en-NZ"/>
              </w:rPr>
              <w:t xml:space="preserve"> </w:t>
            </w:r>
            <w:proofErr w:type="spellStart"/>
            <w:r w:rsidRPr="00F57F1D">
              <w:rPr>
                <w:rFonts w:cs="Arial"/>
                <w:color w:val="000000"/>
                <w:sz w:val="20"/>
                <w:szCs w:val="20"/>
                <w:lang w:val="en-NZ" w:eastAsia="en-NZ"/>
              </w:rPr>
              <w:t>Kulasegaran</w:t>
            </w:r>
            <w:proofErr w:type="spellEnd"/>
            <w:r w:rsidRPr="00F57F1D">
              <w:rPr>
                <w:rFonts w:cs="Arial"/>
                <w:color w:val="000000"/>
                <w:sz w:val="20"/>
                <w:szCs w:val="20"/>
                <w:lang w:val="en-NZ" w:eastAsia="en-NZ"/>
              </w:rPr>
              <w:t xml:space="preserve"> </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16/06/2015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23/06/2015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15/NTB/92</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AIRVO use following hospitalisation for COPD</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Prof Richard Beasley</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r>
      <w:tr w:rsidR="00A841C4" w:rsidRPr="00F57F1D" w:rsidTr="009872A1">
        <w:trPr>
          <w:trHeight w:val="62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15/NTB/93</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5% </w:t>
            </w:r>
            <w:proofErr w:type="spellStart"/>
            <w:r w:rsidRPr="00F57F1D">
              <w:rPr>
                <w:rFonts w:cs="Arial"/>
                <w:color w:val="000000"/>
                <w:sz w:val="20"/>
                <w:szCs w:val="20"/>
                <w:lang w:val="en-NZ" w:eastAsia="en-NZ"/>
              </w:rPr>
              <w:t>Aciclovir</w:t>
            </w:r>
            <w:proofErr w:type="spellEnd"/>
            <w:r w:rsidRPr="00F57F1D">
              <w:rPr>
                <w:rFonts w:cs="Arial"/>
                <w:color w:val="000000"/>
                <w:sz w:val="20"/>
                <w:szCs w:val="20"/>
                <w:lang w:val="en-NZ" w:eastAsia="en-NZ"/>
              </w:rPr>
              <w:t xml:space="preserve"> or </w:t>
            </w:r>
            <w:proofErr w:type="spellStart"/>
            <w:r w:rsidRPr="00F57F1D">
              <w:rPr>
                <w:rFonts w:cs="Arial"/>
                <w:color w:val="000000"/>
                <w:sz w:val="20"/>
                <w:szCs w:val="20"/>
                <w:lang w:val="en-NZ" w:eastAsia="en-NZ"/>
              </w:rPr>
              <w:t>Honevo</w:t>
            </w:r>
            <w:proofErr w:type="spellEnd"/>
            <w:r w:rsidRPr="00F57F1D">
              <w:rPr>
                <w:rFonts w:cs="Arial"/>
                <w:color w:val="000000"/>
                <w:sz w:val="20"/>
                <w:szCs w:val="20"/>
                <w:lang w:val="en-NZ" w:eastAsia="en-NZ"/>
              </w:rPr>
              <w:t xml:space="preserve"> as a treatment for cold sores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Irene Braithwaite</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15/NTB/94</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Comparison study of </w:t>
            </w:r>
            <w:proofErr w:type="spellStart"/>
            <w:r w:rsidRPr="00F57F1D">
              <w:rPr>
                <w:rFonts w:cs="Arial"/>
                <w:color w:val="000000"/>
                <w:sz w:val="20"/>
                <w:szCs w:val="20"/>
                <w:lang w:val="en-NZ" w:eastAsia="en-NZ"/>
              </w:rPr>
              <w:t>clobetasone</w:t>
            </w:r>
            <w:proofErr w:type="spellEnd"/>
            <w:r w:rsidRPr="00F57F1D">
              <w:rPr>
                <w:rFonts w:cs="Arial"/>
                <w:color w:val="000000"/>
                <w:sz w:val="20"/>
                <w:szCs w:val="20"/>
                <w:lang w:val="en-NZ" w:eastAsia="en-NZ"/>
              </w:rPr>
              <w:t xml:space="preserve"> butyrate cream applied to the skin in healthy male and female volunteers</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Noelyn</w:t>
            </w:r>
            <w:proofErr w:type="spellEnd"/>
            <w:r w:rsidRPr="00F57F1D">
              <w:rPr>
                <w:rFonts w:cs="Arial"/>
                <w:color w:val="000000"/>
                <w:sz w:val="20"/>
                <w:szCs w:val="20"/>
                <w:lang w:val="en-NZ" w:eastAsia="en-NZ"/>
              </w:rPr>
              <w:t xml:space="preserve"> Hung</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26/06/2015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30/06/2015</w:t>
            </w:r>
          </w:p>
        </w:tc>
      </w:tr>
      <w:tr w:rsidR="00A841C4" w:rsidRPr="00F57F1D" w:rsidTr="009872A1">
        <w:trPr>
          <w:trHeight w:val="91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15/NTB/95</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GS-5745 for the Treatment of Moderately to Severely Active </w:t>
            </w:r>
            <w:proofErr w:type="spellStart"/>
            <w:r w:rsidRPr="00F57F1D">
              <w:rPr>
                <w:rFonts w:cs="Arial"/>
                <w:color w:val="000000"/>
                <w:sz w:val="20"/>
                <w:szCs w:val="20"/>
                <w:lang w:val="en-NZ" w:eastAsia="en-NZ"/>
              </w:rPr>
              <w:t>Crohn's</w:t>
            </w:r>
            <w:proofErr w:type="spellEnd"/>
            <w:r w:rsidRPr="00F57F1D">
              <w:rPr>
                <w:rFonts w:cs="Arial"/>
                <w:color w:val="000000"/>
                <w:sz w:val="20"/>
                <w:szCs w:val="20"/>
                <w:lang w:val="en-NZ" w:eastAsia="en-NZ"/>
              </w:rPr>
              <w:t xml:space="preserve"> Disease (GS-US-395-1663)</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Prof.</w:t>
            </w:r>
            <w:proofErr w:type="spellEnd"/>
            <w:r w:rsidRPr="00F57F1D">
              <w:rPr>
                <w:rFonts w:cs="Arial"/>
                <w:color w:val="000000"/>
                <w:sz w:val="20"/>
                <w:szCs w:val="20"/>
                <w:lang w:val="en-NZ" w:eastAsia="en-NZ"/>
              </w:rPr>
              <w:t xml:space="preserve"> Richard </w:t>
            </w:r>
            <w:proofErr w:type="spellStart"/>
            <w:r w:rsidRPr="00F57F1D">
              <w:rPr>
                <w:rFonts w:cs="Arial"/>
                <w:color w:val="000000"/>
                <w:sz w:val="20"/>
                <w:szCs w:val="20"/>
                <w:lang w:val="en-NZ" w:eastAsia="en-NZ"/>
              </w:rPr>
              <w:t>Gearry</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23/06/2015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9/07/2015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RCT of the efficacy and safety of an ICS/LABA reliever therapy regimen in asthma</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Prof Richard Beasley</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r>
      <w:tr w:rsidR="00A841C4" w:rsidRPr="00F57F1D" w:rsidTr="009872A1">
        <w:trPr>
          <w:trHeight w:val="10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15/NTB/97</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BI 695500 versus rituximab immunotherapy treatment in participants with low tumour burden follicular lymphoma</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David Simpson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2/07/2015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22/07/2015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15/NTB/98</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The CENTERA Study</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Mark Webster</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15/NTB/99</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Effect of Nitrates on Bone Density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A/Prof Mark </w:t>
            </w:r>
            <w:proofErr w:type="spellStart"/>
            <w:r w:rsidRPr="00F57F1D">
              <w:rPr>
                <w:rFonts w:cs="Arial"/>
                <w:color w:val="000000"/>
                <w:sz w:val="20"/>
                <w:szCs w:val="20"/>
                <w:lang w:val="en-NZ" w:eastAsia="en-NZ"/>
              </w:rPr>
              <w:t>Bolland</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21/05/2015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4/06/2015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15/NTB/110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Leisure reading in people with dementia</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B Sally </w:t>
            </w:r>
            <w:proofErr w:type="spellStart"/>
            <w:r w:rsidRPr="00F57F1D">
              <w:rPr>
                <w:rFonts w:cs="Arial"/>
                <w:color w:val="000000"/>
                <w:sz w:val="20"/>
                <w:szCs w:val="20"/>
                <w:lang w:val="en-NZ" w:eastAsia="en-NZ"/>
              </w:rPr>
              <w:t>Rimkeit</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9/07/2015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11/08/2015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18/08/2015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15/NTB/113</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Thyroid microRNA study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Goswin</w:t>
            </w:r>
            <w:proofErr w:type="spellEnd"/>
            <w:r w:rsidRPr="00F57F1D">
              <w:rPr>
                <w:rFonts w:cs="Arial"/>
                <w:color w:val="000000"/>
                <w:sz w:val="20"/>
                <w:szCs w:val="20"/>
                <w:lang w:val="en-NZ" w:eastAsia="en-NZ"/>
              </w:rPr>
              <w:t xml:space="preserve"> (Win) Meyer-</w:t>
            </w:r>
            <w:proofErr w:type="spellStart"/>
            <w:r w:rsidRPr="00F57F1D">
              <w:rPr>
                <w:rFonts w:cs="Arial"/>
                <w:color w:val="000000"/>
                <w:sz w:val="20"/>
                <w:szCs w:val="20"/>
                <w:lang w:val="en-NZ" w:eastAsia="en-NZ"/>
              </w:rPr>
              <w:t>Rochow</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15/NTB/116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Extraordinary Children</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Mr Andrew Thompson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9/07/2015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3/08/2015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10/08/2015</w:t>
            </w:r>
          </w:p>
        </w:tc>
      </w:tr>
      <w:tr w:rsidR="00A841C4" w:rsidRPr="00F57F1D" w:rsidTr="00A841C4">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15/NTB/117</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HYDRA</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Rajesh Nair</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9/07/2015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24/07/2015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30/07/2015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15/NTB/118</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Effectiveness and Safety of MEDI9929 in Adult's with Atopic Dermatitis</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Dean Quinn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9/07/2015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24/07/2015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10/08/2015</w:t>
            </w:r>
          </w:p>
        </w:tc>
      </w:tr>
      <w:tr w:rsidR="00A841C4" w:rsidRPr="00F57F1D" w:rsidTr="00A841C4">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15/NTB/119</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Acerta</w:t>
            </w:r>
            <w:proofErr w:type="spellEnd"/>
            <w:r w:rsidRPr="00F57F1D">
              <w:rPr>
                <w:rFonts w:cs="Arial"/>
                <w:color w:val="000000"/>
                <w:sz w:val="20"/>
                <w:szCs w:val="20"/>
                <w:lang w:val="en-NZ" w:eastAsia="en-NZ"/>
              </w:rPr>
              <w:t xml:space="preserve"> 007</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David Simpson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9/07/2015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21/07/2015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30/07/2015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15/NTB/120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GS-5745 for the Treatment of Moderately to Severely Active Ulcerative Colitis (GS-US-326-1100)</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Assoc. Prof Richard </w:t>
            </w:r>
            <w:proofErr w:type="spellStart"/>
            <w:r w:rsidRPr="00F57F1D">
              <w:rPr>
                <w:rFonts w:cs="Arial"/>
                <w:color w:val="000000"/>
                <w:sz w:val="20"/>
                <w:szCs w:val="20"/>
                <w:lang w:val="en-NZ" w:eastAsia="en-NZ"/>
              </w:rPr>
              <w:t>Gearry</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18/06/2015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9/07/2015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12/08/2015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17/08/2015</w:t>
            </w:r>
          </w:p>
        </w:tc>
      </w:tr>
      <w:tr w:rsidR="00A841C4" w:rsidRPr="00F57F1D" w:rsidTr="009872A1">
        <w:trPr>
          <w:trHeight w:val="832"/>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15/NTB/126</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Defining thresholds of neonatal hyperglycaemia associated with advers</w:t>
            </w:r>
            <w:r w:rsidR="009872A1">
              <w:rPr>
                <w:rFonts w:cs="Arial"/>
                <w:color w:val="000000"/>
                <w:sz w:val="20"/>
                <w:szCs w:val="20"/>
                <w:lang w:val="en-NZ" w:eastAsia="en-NZ"/>
              </w:rPr>
              <w:t>e short- and long-term outcomes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Kathryn Williamson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15/NTB/129</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Effect of dexamethasone on acute phase response to </w:t>
            </w:r>
            <w:proofErr w:type="spellStart"/>
            <w:r w:rsidRPr="00F57F1D">
              <w:rPr>
                <w:rFonts w:cs="Arial"/>
                <w:color w:val="000000"/>
                <w:sz w:val="20"/>
                <w:szCs w:val="20"/>
                <w:lang w:val="en-NZ" w:eastAsia="en-NZ"/>
              </w:rPr>
              <w:t>zoledronic</w:t>
            </w:r>
            <w:proofErr w:type="spellEnd"/>
            <w:r w:rsidRPr="00F57F1D">
              <w:rPr>
                <w:rFonts w:cs="Arial"/>
                <w:color w:val="000000"/>
                <w:sz w:val="20"/>
                <w:szCs w:val="20"/>
                <w:lang w:val="en-NZ" w:eastAsia="en-NZ"/>
              </w:rPr>
              <w:t xml:space="preserve"> acid</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Professor Ian Reid</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12/08/2015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26/08/2015</w:t>
            </w:r>
          </w:p>
        </w:tc>
      </w:tr>
      <w:tr w:rsidR="00A841C4" w:rsidRPr="00F57F1D" w:rsidTr="009872A1">
        <w:trPr>
          <w:trHeight w:val="977"/>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15/NTB/130</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 study of dose schedules for </w:t>
            </w:r>
            <w:proofErr w:type="spellStart"/>
            <w:r w:rsidRPr="00F57F1D">
              <w:rPr>
                <w:rFonts w:cs="Arial"/>
                <w:color w:val="000000"/>
                <w:sz w:val="20"/>
                <w:szCs w:val="20"/>
                <w:lang w:val="en-NZ" w:eastAsia="en-NZ"/>
              </w:rPr>
              <w:t>pamidronate</w:t>
            </w:r>
            <w:proofErr w:type="spellEnd"/>
            <w:r w:rsidRPr="00F57F1D">
              <w:rPr>
                <w:rFonts w:cs="Arial"/>
                <w:color w:val="000000"/>
                <w:sz w:val="20"/>
                <w:szCs w:val="20"/>
                <w:lang w:val="en-NZ" w:eastAsia="en-NZ"/>
              </w:rPr>
              <w:t xml:space="preserve"> infusions in the management of chronic non-specific low back pain</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Saad</w:t>
            </w:r>
            <w:proofErr w:type="spellEnd"/>
            <w:r w:rsidRPr="00F57F1D">
              <w:rPr>
                <w:rFonts w:cs="Arial"/>
                <w:color w:val="000000"/>
                <w:sz w:val="20"/>
                <w:szCs w:val="20"/>
                <w:lang w:val="en-NZ" w:eastAsia="en-NZ"/>
              </w:rPr>
              <w:t xml:space="preserve"> </w:t>
            </w:r>
            <w:proofErr w:type="spellStart"/>
            <w:r w:rsidRPr="00F57F1D">
              <w:rPr>
                <w:rFonts w:cs="Arial"/>
                <w:color w:val="000000"/>
                <w:sz w:val="20"/>
                <w:szCs w:val="20"/>
                <w:lang w:val="en-NZ" w:eastAsia="en-NZ"/>
              </w:rPr>
              <w:t>Anis</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1/10/2015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29/10/2015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15/NTB/131</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Efficacy and Safety of RTH258 versus </w:t>
            </w:r>
            <w:proofErr w:type="spellStart"/>
            <w:r w:rsidRPr="00F57F1D">
              <w:rPr>
                <w:rFonts w:cs="Arial"/>
                <w:color w:val="000000"/>
                <w:sz w:val="20"/>
                <w:szCs w:val="20"/>
                <w:lang w:val="en-NZ" w:eastAsia="en-NZ"/>
              </w:rPr>
              <w:t>Aflibercept</w:t>
            </w:r>
            <w:proofErr w:type="spellEnd"/>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Sarah Welch</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31/08/2015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15/09/2015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15/NTB/133</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Tart cherry concentrate in gout</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Professor Lisa Stamp</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26/08/2015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15/09/2015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15/NTB/136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Study of NP202 Treatment after a Heart Attack</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Gerard Devlin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7/09/2015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29/09/2015</w:t>
            </w:r>
          </w:p>
        </w:tc>
      </w:tr>
      <w:tr w:rsidR="00A841C4" w:rsidRPr="00F57F1D" w:rsidTr="009872A1">
        <w:trPr>
          <w:trHeight w:val="79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15/NTB/137</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IntraPeritoneal</w:t>
            </w:r>
            <w:proofErr w:type="spellEnd"/>
            <w:r w:rsidRPr="00F57F1D">
              <w:rPr>
                <w:rFonts w:cs="Arial"/>
                <w:color w:val="000000"/>
                <w:sz w:val="20"/>
                <w:szCs w:val="20"/>
                <w:lang w:val="en-NZ" w:eastAsia="en-NZ"/>
              </w:rPr>
              <w:t xml:space="preserve"> therapy for Ovarian Cancer with Carboplatin (</w:t>
            </w:r>
            <w:proofErr w:type="spellStart"/>
            <w:r w:rsidRPr="00F57F1D">
              <w:rPr>
                <w:rFonts w:cs="Arial"/>
                <w:color w:val="000000"/>
                <w:sz w:val="20"/>
                <w:szCs w:val="20"/>
                <w:lang w:val="en-NZ" w:eastAsia="en-NZ"/>
              </w:rPr>
              <w:t>iPocc</w:t>
            </w:r>
            <w:proofErr w:type="spellEnd"/>
            <w:r w:rsidRPr="00F57F1D">
              <w:rPr>
                <w:rFonts w:cs="Arial"/>
                <w:color w:val="000000"/>
                <w:sz w:val="20"/>
                <w:szCs w:val="20"/>
                <w:lang w:val="en-NZ" w:eastAsia="en-NZ"/>
              </w:rPr>
              <w:t>)</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Associate Professor Peter H Sykes</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6/10/2015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28/10/2015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15/NTB/138</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The Suction Study</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Mrs Eileen Gilder</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14/09/2015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8/10/2015</w:t>
            </w:r>
          </w:p>
        </w:tc>
      </w:tr>
      <w:tr w:rsidR="00A841C4" w:rsidRPr="00F57F1D" w:rsidTr="00A841C4">
        <w:trPr>
          <w:trHeight w:val="30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15/NTB/139</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TERRANOVA</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Paul Dawkins</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23/07/2015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6/08/2015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26/08/2015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15/09/2015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15/NTB/140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Provisionally 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Retrospective Review of progression of Low Grade </w:t>
            </w:r>
            <w:proofErr w:type="spellStart"/>
            <w:r w:rsidRPr="00F57F1D">
              <w:rPr>
                <w:rFonts w:cs="Arial"/>
                <w:color w:val="000000"/>
                <w:sz w:val="20"/>
                <w:szCs w:val="20"/>
                <w:lang w:val="en-NZ" w:eastAsia="en-NZ"/>
              </w:rPr>
              <w:t>Appendiceal</w:t>
            </w:r>
            <w:proofErr w:type="spellEnd"/>
            <w:r w:rsidRPr="00F57F1D">
              <w:rPr>
                <w:rFonts w:cs="Arial"/>
                <w:color w:val="000000"/>
                <w:sz w:val="20"/>
                <w:szCs w:val="20"/>
                <w:lang w:val="en-NZ" w:eastAsia="en-NZ"/>
              </w:rPr>
              <w:t xml:space="preserve"> Mucinous Neoplasms</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Shuai</w:t>
            </w:r>
            <w:proofErr w:type="spellEnd"/>
            <w:r w:rsidRPr="00F57F1D">
              <w:rPr>
                <w:rFonts w:cs="Arial"/>
                <w:color w:val="000000"/>
                <w:sz w:val="20"/>
                <w:szCs w:val="20"/>
                <w:lang w:val="en-NZ" w:eastAsia="en-NZ"/>
              </w:rPr>
              <w:t xml:space="preserve"> Yuan</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14/12/2015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A841C4" w:rsidRPr="00F57F1D" w:rsidTr="00A841C4">
        <w:trPr>
          <w:trHeight w:val="34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15/NTB/145</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 study to evaluate if a new drug is superior to placebo and will result in a longer period without tumour progression in patients with relapsed non-</w:t>
            </w:r>
            <w:proofErr w:type="spellStart"/>
            <w:r w:rsidRPr="00F57F1D">
              <w:rPr>
                <w:rFonts w:cs="Arial"/>
                <w:color w:val="000000"/>
                <w:sz w:val="20"/>
                <w:szCs w:val="20"/>
                <w:lang w:val="en-NZ" w:eastAsia="en-NZ"/>
              </w:rPr>
              <w:t>Hodgkins's</w:t>
            </w:r>
            <w:proofErr w:type="spellEnd"/>
            <w:r w:rsidRPr="00F57F1D">
              <w:rPr>
                <w:rFonts w:cs="Arial"/>
                <w:color w:val="000000"/>
                <w:sz w:val="20"/>
                <w:szCs w:val="20"/>
                <w:lang w:val="en-NZ" w:eastAsia="en-NZ"/>
              </w:rPr>
              <w:t xml:space="preserve"> lymphoma after treatment with standard</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Marie Hughes</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176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15/NTB/146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 study to evaluate if a new drug in combination with rituximab or placebo will result in a longer period without tumour progression in patients with relapsed indolent </w:t>
            </w:r>
            <w:r w:rsidR="009872A1">
              <w:rPr>
                <w:rFonts w:cs="Arial"/>
                <w:color w:val="000000"/>
                <w:sz w:val="20"/>
                <w:szCs w:val="20"/>
                <w:lang w:val="en-NZ" w:eastAsia="en-NZ"/>
              </w:rPr>
              <w:t>non-</w:t>
            </w:r>
            <w:proofErr w:type="spellStart"/>
            <w:r w:rsidR="009872A1">
              <w:rPr>
                <w:rFonts w:cs="Arial"/>
                <w:color w:val="000000"/>
                <w:sz w:val="20"/>
                <w:szCs w:val="20"/>
                <w:lang w:val="en-NZ" w:eastAsia="en-NZ"/>
              </w:rPr>
              <w:t>Hodgkins's</w:t>
            </w:r>
            <w:proofErr w:type="spellEnd"/>
            <w:r w:rsidR="009872A1">
              <w:rPr>
                <w:rFonts w:cs="Arial"/>
                <w:color w:val="000000"/>
                <w:sz w:val="20"/>
                <w:szCs w:val="20"/>
                <w:lang w:val="en-NZ" w:eastAsia="en-NZ"/>
              </w:rPr>
              <w:t xml:space="preserve"> lymphoma</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Marie Hughes</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2/10/2015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19/10/2015</w:t>
            </w:r>
          </w:p>
        </w:tc>
      </w:tr>
      <w:tr w:rsidR="00A841C4" w:rsidRPr="00F57F1D" w:rsidTr="009872A1">
        <w:trPr>
          <w:trHeight w:val="1121"/>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15/NTB/147</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9872A1">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Comparison of </w:t>
            </w:r>
            <w:proofErr w:type="spellStart"/>
            <w:r w:rsidRPr="00F57F1D">
              <w:rPr>
                <w:rFonts w:cs="Arial"/>
                <w:color w:val="000000"/>
                <w:sz w:val="20"/>
                <w:szCs w:val="20"/>
                <w:lang w:val="en-NZ" w:eastAsia="en-NZ"/>
              </w:rPr>
              <w:t>Sotagliflozin</w:t>
            </w:r>
            <w:proofErr w:type="spellEnd"/>
            <w:r w:rsidRPr="00F57F1D">
              <w:rPr>
                <w:rFonts w:cs="Arial"/>
                <w:color w:val="000000"/>
                <w:sz w:val="20"/>
                <w:szCs w:val="20"/>
                <w:lang w:val="en-NZ" w:eastAsia="en-NZ"/>
              </w:rPr>
              <w:t xml:space="preserve"> versus placebo as an addition to Insulin in patients with type 1 </w:t>
            </w:r>
            <w:r w:rsidR="009872A1">
              <w:rPr>
                <w:rFonts w:cs="Arial"/>
                <w:color w:val="000000"/>
                <w:sz w:val="20"/>
                <w:szCs w:val="20"/>
                <w:lang w:val="en-NZ" w:eastAsia="en-NZ"/>
              </w:rPr>
              <w:t>d</w:t>
            </w:r>
            <w:r w:rsidRPr="00F57F1D">
              <w:rPr>
                <w:rFonts w:cs="Arial"/>
                <w:color w:val="000000"/>
                <w:sz w:val="20"/>
                <w:szCs w:val="20"/>
                <w:lang w:val="en-NZ" w:eastAsia="en-NZ"/>
              </w:rPr>
              <w:t>iabetes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Ian Rosen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15/NTB/149</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CARSK Study</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Associate Professor Helen </w:t>
            </w:r>
            <w:proofErr w:type="spellStart"/>
            <w:r w:rsidRPr="00F57F1D">
              <w:rPr>
                <w:rFonts w:cs="Arial"/>
                <w:color w:val="000000"/>
                <w:sz w:val="20"/>
                <w:szCs w:val="20"/>
                <w:lang w:val="en-NZ" w:eastAsia="en-NZ"/>
              </w:rPr>
              <w:t>Pilmore</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8/09/2015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29/09/2015</w:t>
            </w:r>
          </w:p>
        </w:tc>
      </w:tr>
      <w:tr w:rsidR="00A841C4" w:rsidRPr="00F57F1D" w:rsidTr="009872A1">
        <w:trPr>
          <w:trHeight w:val="154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15/NTB/151</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Exploring the role of an individualised healthcare transition document for young people with disabilities transitioning from Paed</w:t>
            </w:r>
            <w:r w:rsidR="009872A1">
              <w:rPr>
                <w:rFonts w:cs="Arial"/>
                <w:color w:val="000000"/>
                <w:sz w:val="20"/>
                <w:szCs w:val="20"/>
                <w:lang w:val="en-NZ" w:eastAsia="en-NZ"/>
              </w:rPr>
              <w:t>iatric services to Primary Care</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Emma </w:t>
            </w:r>
            <w:proofErr w:type="spellStart"/>
            <w:r w:rsidRPr="00F57F1D">
              <w:rPr>
                <w:rFonts w:cs="Arial"/>
                <w:color w:val="000000"/>
                <w:sz w:val="20"/>
                <w:szCs w:val="20"/>
                <w:lang w:val="en-NZ" w:eastAsia="en-NZ"/>
              </w:rPr>
              <w:t>Cluett</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14/09/2015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6/10/2015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15/NTB/152</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Skin changes following fat grafting</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Ms Michelle Locke</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r>
      <w:tr w:rsidR="00A841C4" w:rsidRPr="00F57F1D" w:rsidTr="009872A1">
        <w:trPr>
          <w:trHeight w:val="792"/>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15/NTB/153</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Validation of White Blood Cell Lineage </w:t>
            </w:r>
            <w:proofErr w:type="spellStart"/>
            <w:r w:rsidRPr="00F57F1D">
              <w:rPr>
                <w:rFonts w:cs="Arial"/>
                <w:color w:val="000000"/>
                <w:sz w:val="20"/>
                <w:szCs w:val="20"/>
                <w:lang w:val="en-NZ" w:eastAsia="en-NZ"/>
              </w:rPr>
              <w:t>SpecificDNA</w:t>
            </w:r>
            <w:proofErr w:type="spellEnd"/>
            <w:r w:rsidRPr="00F57F1D">
              <w:rPr>
                <w:rFonts w:cs="Arial"/>
                <w:color w:val="000000"/>
                <w:sz w:val="20"/>
                <w:szCs w:val="20"/>
                <w:lang w:val="en-NZ" w:eastAsia="en-NZ"/>
              </w:rPr>
              <w:t xml:space="preserve"> methylation markers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Miles Benton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15/NTB/154</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Effects of dairy protein at rest and after exercise</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Cameron </w:t>
            </w:r>
            <w:proofErr w:type="spellStart"/>
            <w:r w:rsidRPr="00F57F1D">
              <w:rPr>
                <w:rFonts w:cs="Arial"/>
                <w:color w:val="000000"/>
                <w:sz w:val="20"/>
                <w:szCs w:val="20"/>
                <w:lang w:val="en-NZ" w:eastAsia="en-NZ"/>
              </w:rPr>
              <w:t>MItchell</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20/11/2015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14/12/2015</w:t>
            </w:r>
          </w:p>
        </w:tc>
      </w:tr>
      <w:tr w:rsidR="00A841C4" w:rsidRPr="00F57F1D" w:rsidTr="00A841C4">
        <w:trPr>
          <w:trHeight w:val="228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15/NTB/155</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Early detection markers and risk factor analysis for Human papillomavirus associated </w:t>
            </w:r>
            <w:proofErr w:type="spellStart"/>
            <w:r w:rsidRPr="00F57F1D">
              <w:rPr>
                <w:rFonts w:cs="Arial"/>
                <w:color w:val="000000"/>
                <w:sz w:val="20"/>
                <w:szCs w:val="20"/>
                <w:lang w:val="en-NZ" w:eastAsia="en-NZ"/>
              </w:rPr>
              <w:t>oropharyngeal</w:t>
            </w:r>
            <w:proofErr w:type="spellEnd"/>
            <w:r w:rsidRPr="00F57F1D">
              <w:rPr>
                <w:rFonts w:cs="Arial"/>
                <w:color w:val="000000"/>
                <w:sz w:val="20"/>
                <w:szCs w:val="20"/>
                <w:lang w:val="en-NZ" w:eastAsia="en-NZ"/>
              </w:rPr>
              <w:t xml:space="preserve"> cancer</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Ms Rebecca Lucas-Roxburgh</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5/10/2015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2/11/2015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15/NTB/156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 research study to find out if the study drug, </w:t>
            </w:r>
            <w:proofErr w:type="spellStart"/>
            <w:r w:rsidRPr="00F57F1D">
              <w:rPr>
                <w:rFonts w:cs="Arial"/>
                <w:color w:val="000000"/>
                <w:sz w:val="20"/>
                <w:szCs w:val="20"/>
                <w:lang w:val="en-NZ" w:eastAsia="en-NZ"/>
              </w:rPr>
              <w:t>reslizumab</w:t>
            </w:r>
            <w:proofErr w:type="spellEnd"/>
            <w:r w:rsidRPr="00F57F1D">
              <w:rPr>
                <w:rFonts w:cs="Arial"/>
                <w:color w:val="000000"/>
                <w:sz w:val="20"/>
                <w:szCs w:val="20"/>
                <w:lang w:val="en-NZ" w:eastAsia="en-NZ"/>
              </w:rPr>
              <w:t>, is safe and can help people with uncontrolled asthma</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Conroy Wong</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r>
      <w:tr w:rsidR="00A841C4" w:rsidRPr="00F57F1D" w:rsidTr="00A841C4">
        <w:trPr>
          <w:trHeight w:val="17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15/NTB/158</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Comparison of the blood levels of two forms of </w:t>
            </w:r>
            <w:proofErr w:type="spellStart"/>
            <w:r w:rsidRPr="00F57F1D">
              <w:rPr>
                <w:rFonts w:cs="Arial"/>
                <w:color w:val="000000"/>
                <w:sz w:val="20"/>
                <w:szCs w:val="20"/>
                <w:lang w:val="en-NZ" w:eastAsia="en-NZ"/>
              </w:rPr>
              <w:t>tranexamic</w:t>
            </w:r>
            <w:proofErr w:type="spellEnd"/>
            <w:r w:rsidRPr="00F57F1D">
              <w:rPr>
                <w:rFonts w:cs="Arial"/>
                <w:color w:val="000000"/>
                <w:sz w:val="20"/>
                <w:szCs w:val="20"/>
                <w:lang w:val="en-NZ" w:eastAsia="en-NZ"/>
              </w:rPr>
              <w:t xml:space="preserve"> acid 500 mg tablets in healthy male and female volunteers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Noelyn</w:t>
            </w:r>
            <w:proofErr w:type="spellEnd"/>
            <w:r w:rsidRPr="00F57F1D">
              <w:rPr>
                <w:rFonts w:cs="Arial"/>
                <w:color w:val="000000"/>
                <w:sz w:val="20"/>
                <w:szCs w:val="20"/>
                <w:lang w:val="en-NZ" w:eastAsia="en-NZ"/>
              </w:rPr>
              <w:t xml:space="preserve"> Hung</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20/08/2015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3/09/2015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15/NTB/177</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WATER Study</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Associate Professor Peter </w:t>
            </w:r>
            <w:proofErr w:type="spellStart"/>
            <w:r w:rsidRPr="00F57F1D">
              <w:rPr>
                <w:rFonts w:cs="Arial"/>
                <w:color w:val="000000"/>
                <w:sz w:val="20"/>
                <w:szCs w:val="20"/>
                <w:lang w:val="en-NZ" w:eastAsia="en-NZ"/>
              </w:rPr>
              <w:t>Gilling</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14/10/2015</w:t>
            </w:r>
          </w:p>
        </w:tc>
      </w:tr>
      <w:tr w:rsidR="00A841C4" w:rsidRPr="00F57F1D" w:rsidTr="00A841C4">
        <w:trPr>
          <w:trHeight w:val="199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15/NTB/178</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PeRsonalised</w:t>
            </w:r>
            <w:proofErr w:type="spellEnd"/>
            <w:r w:rsidRPr="00F57F1D">
              <w:rPr>
                <w:rFonts w:cs="Arial"/>
                <w:color w:val="000000"/>
                <w:sz w:val="20"/>
                <w:szCs w:val="20"/>
                <w:lang w:val="en-NZ" w:eastAsia="en-NZ"/>
              </w:rPr>
              <w:t xml:space="preserve"> Asthma Combination Therapy: with Inhaled Corticosteroid And fast-onset Long-acting beta agonist (PRACTICAL)</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Prof Richard Beasley</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14/10/2015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2/11/2015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18/11/2015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15/NTB/180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Provisionally 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Rehabilitation post primary flexor </w:t>
            </w:r>
            <w:proofErr w:type="spellStart"/>
            <w:r w:rsidRPr="00F57F1D">
              <w:rPr>
                <w:rFonts w:cs="Arial"/>
                <w:color w:val="000000"/>
                <w:sz w:val="20"/>
                <w:szCs w:val="20"/>
                <w:lang w:val="en-NZ" w:eastAsia="en-NZ"/>
              </w:rPr>
              <w:t>pollicis</w:t>
            </w:r>
            <w:proofErr w:type="spellEnd"/>
            <w:r w:rsidRPr="00F57F1D">
              <w:rPr>
                <w:rFonts w:cs="Arial"/>
                <w:color w:val="000000"/>
                <w:sz w:val="20"/>
                <w:szCs w:val="20"/>
                <w:lang w:val="en-NZ" w:eastAsia="en-NZ"/>
              </w:rPr>
              <w:t xml:space="preserve"> </w:t>
            </w:r>
            <w:proofErr w:type="spellStart"/>
            <w:r w:rsidRPr="00F57F1D">
              <w:rPr>
                <w:rFonts w:cs="Arial"/>
                <w:color w:val="000000"/>
                <w:sz w:val="20"/>
                <w:szCs w:val="20"/>
                <w:lang w:val="en-NZ" w:eastAsia="en-NZ"/>
              </w:rPr>
              <w:t>longus</w:t>
            </w:r>
            <w:proofErr w:type="spellEnd"/>
            <w:r w:rsidRPr="00F57F1D">
              <w:rPr>
                <w:rFonts w:cs="Arial"/>
                <w:color w:val="000000"/>
                <w:sz w:val="20"/>
                <w:szCs w:val="20"/>
                <w:lang w:val="en-NZ" w:eastAsia="en-NZ"/>
              </w:rPr>
              <w:t xml:space="preserve"> repair</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Ashwini</w:t>
            </w:r>
            <w:proofErr w:type="spellEnd"/>
            <w:r w:rsidRPr="00F57F1D">
              <w:rPr>
                <w:rFonts w:cs="Arial"/>
                <w:color w:val="000000"/>
                <w:sz w:val="20"/>
                <w:szCs w:val="20"/>
                <w:lang w:val="en-NZ" w:eastAsia="en-NZ"/>
              </w:rPr>
              <w:t xml:space="preserve"> Pondicherry</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14/10/2015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15/NTB/183</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Youth e-therapy implementation</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Theresa Fleming</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18/12/2015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23/12/2015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15/NTB/184</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Decline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Effects of irrigation fluid temperature on core body temperature</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Kimberley Sent-</w:t>
            </w:r>
            <w:proofErr w:type="spellStart"/>
            <w:r w:rsidRPr="00F57F1D">
              <w:rPr>
                <w:rFonts w:cs="Arial"/>
                <w:color w:val="000000"/>
                <w:sz w:val="20"/>
                <w:szCs w:val="20"/>
                <w:lang w:val="en-NZ" w:eastAsia="en-NZ"/>
              </w:rPr>
              <w:t>Doux</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r>
      <w:tr w:rsidR="00A841C4" w:rsidRPr="00F57F1D" w:rsidTr="00A841C4">
        <w:trPr>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15/NTB/185</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Whānau</w:t>
            </w:r>
            <w:proofErr w:type="spellEnd"/>
            <w:r w:rsidRPr="00F57F1D">
              <w:rPr>
                <w:rFonts w:cs="Arial"/>
                <w:color w:val="000000"/>
                <w:sz w:val="20"/>
                <w:szCs w:val="20"/>
                <w:lang w:val="en-NZ" w:eastAsia="en-NZ"/>
              </w:rPr>
              <w:t xml:space="preserve"> Experiences of Recurrent Rheumatic Fever</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w:t>
            </w:r>
            <w:proofErr w:type="spellStart"/>
            <w:r w:rsidRPr="00F57F1D">
              <w:rPr>
                <w:rFonts w:cs="Arial"/>
                <w:color w:val="000000"/>
                <w:sz w:val="20"/>
                <w:szCs w:val="20"/>
                <w:lang w:val="en-NZ" w:eastAsia="en-NZ"/>
              </w:rPr>
              <w:t>Anneka</w:t>
            </w:r>
            <w:proofErr w:type="spellEnd"/>
            <w:r w:rsidRPr="00F57F1D">
              <w:rPr>
                <w:rFonts w:cs="Arial"/>
                <w:color w:val="000000"/>
                <w:sz w:val="20"/>
                <w:szCs w:val="20"/>
                <w:lang w:val="en-NZ" w:eastAsia="en-NZ"/>
              </w:rPr>
              <w:t xml:space="preserve"> Anderson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2/11/2015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2/11/2015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15/NTB/186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BP29948: A study of RO7020322 in healthy subjects and hepatitis B patients</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 Edward </w:t>
            </w:r>
            <w:proofErr w:type="spellStart"/>
            <w:r w:rsidRPr="00F57F1D">
              <w:rPr>
                <w:rFonts w:cs="Arial"/>
                <w:color w:val="000000"/>
                <w:sz w:val="20"/>
                <w:szCs w:val="20"/>
                <w:lang w:val="en-NZ" w:eastAsia="en-NZ"/>
              </w:rPr>
              <w:t>Gane</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4/11/2015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20/11/2015</w:t>
            </w:r>
          </w:p>
        </w:tc>
      </w:tr>
      <w:tr w:rsidR="00A841C4" w:rsidRPr="00F57F1D" w:rsidTr="009872A1">
        <w:trPr>
          <w:trHeight w:val="91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15/NTB/188</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Assessment of the investigational coeliac disease drug Nexvax2, when given in multiple doses to men and women with coeliac disease</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Timothy King</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14/10/2015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23/10/2015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27/10/2015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15/NTB/189</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 research study to find out what happens to </w:t>
            </w:r>
            <w:proofErr w:type="spellStart"/>
            <w:r w:rsidRPr="00F57F1D">
              <w:rPr>
                <w:rFonts w:cs="Arial"/>
                <w:color w:val="000000"/>
                <w:sz w:val="20"/>
                <w:szCs w:val="20"/>
                <w:lang w:val="en-NZ" w:eastAsia="en-NZ"/>
              </w:rPr>
              <w:t>rFVIIIFc</w:t>
            </w:r>
            <w:proofErr w:type="spellEnd"/>
            <w:r w:rsidRPr="00F57F1D">
              <w:rPr>
                <w:rFonts w:cs="Arial"/>
                <w:color w:val="000000"/>
                <w:sz w:val="20"/>
                <w:szCs w:val="20"/>
                <w:lang w:val="en-NZ" w:eastAsia="en-NZ"/>
              </w:rPr>
              <w:t xml:space="preserve"> in the body and if it is safe when made in larger batches and at higher strengths for patients with </w:t>
            </w:r>
            <w:proofErr w:type="spellStart"/>
            <w:r w:rsidRPr="00F57F1D">
              <w:rPr>
                <w:rFonts w:cs="Arial"/>
                <w:color w:val="000000"/>
                <w:sz w:val="20"/>
                <w:szCs w:val="20"/>
                <w:lang w:val="en-NZ" w:eastAsia="en-NZ"/>
              </w:rPr>
              <w:t>Hemophilia</w:t>
            </w:r>
            <w:proofErr w:type="spellEnd"/>
            <w:r w:rsidRPr="00F57F1D">
              <w:rPr>
                <w:rFonts w:cs="Arial"/>
                <w:color w:val="000000"/>
                <w:sz w:val="20"/>
                <w:szCs w:val="20"/>
                <w:lang w:val="en-NZ" w:eastAsia="en-NZ"/>
              </w:rPr>
              <w:t xml:space="preserve"> A</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Hubertus </w:t>
            </w:r>
            <w:proofErr w:type="spellStart"/>
            <w:r w:rsidRPr="00F57F1D">
              <w:rPr>
                <w:rFonts w:cs="Arial"/>
                <w:color w:val="000000"/>
                <w:sz w:val="20"/>
                <w:szCs w:val="20"/>
                <w:lang w:val="en-NZ" w:eastAsia="en-NZ"/>
              </w:rPr>
              <w:t>Buyck</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r>
      <w:tr w:rsidR="00A841C4" w:rsidRPr="00F57F1D" w:rsidTr="009872A1">
        <w:trPr>
          <w:trHeight w:val="623"/>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15/NTB/193</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 healthy life starts with a bio-energetically healthy placenta</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 Larry </w:t>
            </w:r>
            <w:proofErr w:type="spellStart"/>
            <w:r w:rsidRPr="00F57F1D">
              <w:rPr>
                <w:rFonts w:cs="Arial"/>
                <w:color w:val="000000"/>
                <w:sz w:val="20"/>
                <w:szCs w:val="20"/>
                <w:lang w:val="en-NZ" w:eastAsia="en-NZ"/>
              </w:rPr>
              <w:t>Chamley</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15/NTB/196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MN and malignancy in Auckland region</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Basil </w:t>
            </w:r>
            <w:proofErr w:type="spellStart"/>
            <w:r w:rsidRPr="00F57F1D">
              <w:rPr>
                <w:rFonts w:cs="Arial"/>
                <w:color w:val="000000"/>
                <w:sz w:val="20"/>
                <w:szCs w:val="20"/>
                <w:lang w:val="en-NZ" w:eastAsia="en-NZ"/>
              </w:rPr>
              <w:t>Alnasrallah</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24/09/2015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15/10/2015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3/11/2015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5/11/2015</w:t>
            </w:r>
          </w:p>
        </w:tc>
      </w:tr>
      <w:tr w:rsidR="00A841C4" w:rsidRPr="00F57F1D" w:rsidTr="009872A1">
        <w:trPr>
          <w:trHeight w:val="98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15/NTB/198</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Can ultrasound scanning be utilised in the assessment of paediatric airway pathology? A pilot study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Jean Murdoch</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25/11/2015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9/12/2015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15/NTB/200</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Respiratory Virus Whole Genome Sequencing</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Assoc</w:t>
            </w:r>
            <w:proofErr w:type="spellEnd"/>
            <w:r w:rsidRPr="00F57F1D">
              <w:rPr>
                <w:rFonts w:cs="Arial"/>
                <w:color w:val="000000"/>
                <w:sz w:val="20"/>
                <w:szCs w:val="20"/>
                <w:lang w:val="en-NZ" w:eastAsia="en-NZ"/>
              </w:rPr>
              <w:t xml:space="preserve"> Prof Lance Jennings</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r>
      <w:tr w:rsidR="00A841C4" w:rsidRPr="00F57F1D" w:rsidTr="009872A1">
        <w:trPr>
          <w:trHeight w:val="1402"/>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15/NTB/201</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Investigating the feasibility of a Mindfulness Based Cognitive Therapy text package for young adults who have</w:t>
            </w:r>
            <w:r w:rsidR="009872A1">
              <w:rPr>
                <w:rFonts w:cs="Arial"/>
                <w:color w:val="000000"/>
                <w:sz w:val="20"/>
                <w:szCs w:val="20"/>
                <w:lang w:val="en-NZ" w:eastAsia="en-NZ"/>
              </w:rPr>
              <w:t xml:space="preserve"> experienced psychosis symptoms</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Mrs Mary Miller</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15/NTB/202</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Dementia Research Clinic: Identifying biomarkers and factors that affect Mild Cognitive Impairment and dementia</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Associate-Professor Lynette J. </w:t>
            </w:r>
            <w:proofErr w:type="spellStart"/>
            <w:r w:rsidRPr="00F57F1D">
              <w:rPr>
                <w:rFonts w:cs="Arial"/>
                <w:color w:val="000000"/>
                <w:sz w:val="20"/>
                <w:szCs w:val="20"/>
                <w:lang w:val="en-NZ" w:eastAsia="en-NZ"/>
              </w:rPr>
              <w:t>Tippett</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15/NTB/203</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Apama</w:t>
            </w:r>
            <w:proofErr w:type="spellEnd"/>
            <w:r w:rsidRPr="00F57F1D">
              <w:rPr>
                <w:rFonts w:cs="Arial"/>
                <w:color w:val="000000"/>
                <w:sz w:val="20"/>
                <w:szCs w:val="20"/>
                <w:lang w:val="en-NZ" w:eastAsia="en-NZ"/>
              </w:rPr>
              <w:t xml:space="preserve"> RF Balloon Catheter System</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Ian Crozier</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lastRenderedPageBreak/>
              <w:t>15/NTB/204</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GS-US-367-1171: A study of </w:t>
            </w:r>
            <w:proofErr w:type="spellStart"/>
            <w:r w:rsidRPr="00F57F1D">
              <w:rPr>
                <w:rFonts w:cs="Arial"/>
                <w:color w:val="000000"/>
                <w:sz w:val="20"/>
                <w:szCs w:val="20"/>
                <w:lang w:val="en-NZ" w:eastAsia="en-NZ"/>
              </w:rPr>
              <w:t>Sofosbuvir</w:t>
            </w:r>
            <w:proofErr w:type="spellEnd"/>
            <w:r w:rsidRPr="00F57F1D">
              <w:rPr>
                <w:rFonts w:cs="Arial"/>
                <w:color w:val="000000"/>
                <w:sz w:val="20"/>
                <w:szCs w:val="20"/>
                <w:lang w:val="en-NZ" w:eastAsia="en-NZ"/>
              </w:rPr>
              <w:t>/</w:t>
            </w:r>
            <w:proofErr w:type="spellStart"/>
            <w:r w:rsidRPr="00F57F1D">
              <w:rPr>
                <w:rFonts w:cs="Arial"/>
                <w:color w:val="000000"/>
                <w:sz w:val="20"/>
                <w:szCs w:val="20"/>
                <w:lang w:val="en-NZ" w:eastAsia="en-NZ"/>
              </w:rPr>
              <w:t>Velpatasvir</w:t>
            </w:r>
            <w:proofErr w:type="spellEnd"/>
            <w:r w:rsidRPr="00F57F1D">
              <w:rPr>
                <w:rFonts w:cs="Arial"/>
                <w:color w:val="000000"/>
                <w:sz w:val="20"/>
                <w:szCs w:val="20"/>
                <w:lang w:val="en-NZ" w:eastAsia="en-NZ"/>
              </w:rPr>
              <w:t>/GS-9857 chronic hepatitis C patients previously treated with a direct acting antiviral</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 Edward </w:t>
            </w:r>
            <w:proofErr w:type="spellStart"/>
            <w:r w:rsidRPr="00F57F1D">
              <w:rPr>
                <w:rFonts w:cs="Arial"/>
                <w:color w:val="000000"/>
                <w:sz w:val="20"/>
                <w:szCs w:val="20"/>
                <w:lang w:val="en-NZ" w:eastAsia="en-NZ"/>
              </w:rPr>
              <w:t>Gane</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24/11/2015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27/11/2015</w:t>
            </w:r>
          </w:p>
        </w:tc>
      </w:tr>
      <w:tr w:rsidR="00A841C4" w:rsidRPr="00F57F1D" w:rsidTr="009872A1">
        <w:trPr>
          <w:trHeight w:val="1266"/>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15/NTB/205</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GS-US-367-1172: A study of </w:t>
            </w:r>
            <w:proofErr w:type="spellStart"/>
            <w:r w:rsidRPr="00F57F1D">
              <w:rPr>
                <w:rFonts w:cs="Arial"/>
                <w:color w:val="000000"/>
                <w:sz w:val="20"/>
                <w:szCs w:val="20"/>
                <w:lang w:val="en-NZ" w:eastAsia="en-NZ"/>
              </w:rPr>
              <w:t>Sofosbuvir</w:t>
            </w:r>
            <w:proofErr w:type="spellEnd"/>
            <w:r w:rsidRPr="00F57F1D">
              <w:rPr>
                <w:rFonts w:cs="Arial"/>
                <w:color w:val="000000"/>
                <w:sz w:val="20"/>
                <w:szCs w:val="20"/>
                <w:lang w:val="en-NZ" w:eastAsia="en-NZ"/>
              </w:rPr>
              <w:t>/</w:t>
            </w:r>
            <w:proofErr w:type="spellStart"/>
            <w:r w:rsidRPr="00F57F1D">
              <w:rPr>
                <w:rFonts w:cs="Arial"/>
                <w:color w:val="000000"/>
                <w:sz w:val="20"/>
                <w:szCs w:val="20"/>
                <w:lang w:val="en-NZ" w:eastAsia="en-NZ"/>
              </w:rPr>
              <w:t>Velpatasvir</w:t>
            </w:r>
            <w:proofErr w:type="spellEnd"/>
            <w:r w:rsidRPr="00F57F1D">
              <w:rPr>
                <w:rFonts w:cs="Arial"/>
                <w:color w:val="000000"/>
                <w:sz w:val="20"/>
                <w:szCs w:val="20"/>
                <w:lang w:val="en-NZ" w:eastAsia="en-NZ"/>
              </w:rPr>
              <w:t>/GS-9857 chronic hepatitis C patients naive to direct acting antiviral treatment</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 Edward </w:t>
            </w:r>
            <w:proofErr w:type="spellStart"/>
            <w:r w:rsidRPr="00F57F1D">
              <w:rPr>
                <w:rFonts w:cs="Arial"/>
                <w:color w:val="000000"/>
                <w:sz w:val="20"/>
                <w:szCs w:val="20"/>
                <w:lang w:val="en-NZ" w:eastAsia="en-NZ"/>
              </w:rPr>
              <w:t>Gane</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24/11/2015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27/11/2015</w:t>
            </w:r>
          </w:p>
        </w:tc>
      </w:tr>
      <w:tr w:rsidR="00A841C4" w:rsidRPr="00F57F1D" w:rsidTr="009872A1">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15/NTB/206</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 natural environment versus medication in children with ADHD</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F57F1D">
              <w:rPr>
                <w:rFonts w:cs="Arial"/>
                <w:color w:val="000000"/>
                <w:sz w:val="20"/>
                <w:szCs w:val="20"/>
                <w:lang w:val="en-NZ" w:eastAsia="en-NZ"/>
              </w:rPr>
              <w:t>Dr.</w:t>
            </w:r>
            <w:proofErr w:type="spellEnd"/>
            <w:r w:rsidRPr="00F57F1D">
              <w:rPr>
                <w:rFonts w:cs="Arial"/>
                <w:color w:val="000000"/>
                <w:sz w:val="20"/>
                <w:szCs w:val="20"/>
                <w:lang w:val="en-NZ" w:eastAsia="en-NZ"/>
              </w:rPr>
              <w:t xml:space="preserve"> </w:t>
            </w:r>
            <w:proofErr w:type="spellStart"/>
            <w:r w:rsidRPr="00F57F1D">
              <w:rPr>
                <w:rFonts w:cs="Arial"/>
                <w:color w:val="000000"/>
                <w:sz w:val="20"/>
                <w:szCs w:val="20"/>
                <w:lang w:val="en-NZ" w:eastAsia="en-NZ"/>
              </w:rPr>
              <w:t>Dione</w:t>
            </w:r>
            <w:proofErr w:type="spellEnd"/>
            <w:r w:rsidRPr="00F57F1D">
              <w:rPr>
                <w:rFonts w:cs="Arial"/>
                <w:color w:val="000000"/>
                <w:sz w:val="20"/>
                <w:szCs w:val="20"/>
                <w:lang w:val="en-NZ" w:eastAsia="en-NZ"/>
              </w:rPr>
              <w:t xml:space="preserve"> Healey</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r>
      <w:tr w:rsidR="00A841C4" w:rsidRPr="00F57F1D" w:rsidTr="00A841C4">
        <w:trPr>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15/NTB/207</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Provisionally 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Australasian phase II </w:t>
            </w:r>
            <w:proofErr w:type="spellStart"/>
            <w:r w:rsidRPr="00F57F1D">
              <w:rPr>
                <w:rFonts w:cs="Arial"/>
                <w:color w:val="000000"/>
                <w:sz w:val="20"/>
                <w:szCs w:val="20"/>
                <w:lang w:val="en-NZ" w:eastAsia="en-NZ"/>
              </w:rPr>
              <w:t>haplo</w:t>
            </w:r>
            <w:proofErr w:type="spellEnd"/>
            <w:r w:rsidRPr="00F57F1D">
              <w:rPr>
                <w:rFonts w:cs="Arial"/>
                <w:color w:val="000000"/>
                <w:sz w:val="20"/>
                <w:szCs w:val="20"/>
                <w:lang w:val="en-NZ" w:eastAsia="en-NZ"/>
              </w:rPr>
              <w:t xml:space="preserve"> study</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Nigel Patton</w:t>
            </w:r>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15/NTB/208</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Aldosterone</w:t>
            </w:r>
            <w:r w:rsidR="009872A1">
              <w:rPr>
                <w:rFonts w:cs="Arial"/>
                <w:color w:val="000000"/>
                <w:sz w:val="20"/>
                <w:szCs w:val="20"/>
                <w:lang w:val="en-NZ" w:eastAsia="en-NZ"/>
              </w:rPr>
              <w:t xml:space="preserve"> levels in very preterm infants</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Dr Roland Broadbent</w:t>
            </w:r>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Observational</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25/11/2015</w:t>
            </w: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16/12/2015</w:t>
            </w:r>
          </w:p>
        </w:tc>
      </w:tr>
      <w:tr w:rsidR="00A841C4" w:rsidRPr="00F57F1D" w:rsidTr="00A841C4">
        <w:trPr>
          <w:trHeight w:val="8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15/NTB/209</w:t>
            </w:r>
          </w:p>
        </w:tc>
        <w:tc>
          <w:tcPr>
            <w:tcW w:w="1339"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Approve</w:t>
            </w:r>
          </w:p>
        </w:tc>
        <w:tc>
          <w:tcPr>
            <w:tcW w:w="2914"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HCV in </w:t>
            </w:r>
            <w:proofErr w:type="spellStart"/>
            <w:r w:rsidRPr="00F57F1D">
              <w:rPr>
                <w:rFonts w:cs="Arial"/>
                <w:color w:val="000000"/>
                <w:sz w:val="20"/>
                <w:szCs w:val="20"/>
                <w:lang w:val="en-NZ" w:eastAsia="en-NZ"/>
              </w:rPr>
              <w:t>Renally</w:t>
            </w:r>
            <w:proofErr w:type="spellEnd"/>
            <w:r w:rsidRPr="00F57F1D">
              <w:rPr>
                <w:rFonts w:cs="Arial"/>
                <w:color w:val="000000"/>
                <w:sz w:val="20"/>
                <w:szCs w:val="20"/>
                <w:lang w:val="en-NZ" w:eastAsia="en-NZ"/>
              </w:rPr>
              <w:t>-Impaired Adults (EXPEDITION-4)</w:t>
            </w:r>
          </w:p>
        </w:tc>
        <w:tc>
          <w:tcPr>
            <w:tcW w:w="206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Prof Edward </w:t>
            </w:r>
            <w:proofErr w:type="spellStart"/>
            <w:r w:rsidRPr="00F57F1D">
              <w:rPr>
                <w:rFonts w:cs="Arial"/>
                <w:color w:val="000000"/>
                <w:sz w:val="20"/>
                <w:szCs w:val="20"/>
                <w:lang w:val="en-NZ" w:eastAsia="en-NZ"/>
              </w:rPr>
              <w:t>Gane</w:t>
            </w:r>
            <w:proofErr w:type="spellEnd"/>
          </w:p>
        </w:tc>
        <w:tc>
          <w:tcPr>
            <w:tcW w:w="148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c>
          <w:tcPr>
            <w:tcW w:w="1558"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26/11/2015</w:t>
            </w:r>
          </w:p>
        </w:tc>
        <w:tc>
          <w:tcPr>
            <w:tcW w:w="1702" w:type="dxa"/>
            <w:vAlign w:val="center"/>
            <w:hideMark/>
          </w:tcPr>
          <w:p w:rsidR="00A841C4" w:rsidRPr="00F57F1D"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27/11/2015</w:t>
            </w:r>
          </w:p>
        </w:tc>
      </w:tr>
      <w:tr w:rsidR="00A841C4" w:rsidRPr="00F57F1D"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A841C4" w:rsidRPr="00F57F1D" w:rsidRDefault="00A841C4" w:rsidP="00A841C4">
            <w:pPr>
              <w:jc w:val="center"/>
              <w:rPr>
                <w:rFonts w:cs="Arial"/>
                <w:color w:val="000000"/>
                <w:sz w:val="20"/>
                <w:szCs w:val="20"/>
                <w:lang w:val="en-NZ" w:eastAsia="en-NZ"/>
              </w:rPr>
            </w:pPr>
            <w:r w:rsidRPr="00F57F1D">
              <w:rPr>
                <w:rFonts w:cs="Arial"/>
                <w:color w:val="000000"/>
                <w:sz w:val="20"/>
                <w:szCs w:val="20"/>
                <w:lang w:val="en-NZ" w:eastAsia="en-NZ"/>
              </w:rPr>
              <w:t>15/NTB/211</w:t>
            </w:r>
          </w:p>
        </w:tc>
        <w:tc>
          <w:tcPr>
            <w:tcW w:w="1339"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Provisionally approve</w:t>
            </w:r>
          </w:p>
        </w:tc>
        <w:tc>
          <w:tcPr>
            <w:tcW w:w="2914"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BELLPIC</w:t>
            </w:r>
          </w:p>
        </w:tc>
        <w:tc>
          <w:tcPr>
            <w:tcW w:w="206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 xml:space="preserve">Dr Stuart </w:t>
            </w:r>
            <w:proofErr w:type="spellStart"/>
            <w:r w:rsidRPr="00F57F1D">
              <w:rPr>
                <w:rFonts w:cs="Arial"/>
                <w:color w:val="000000"/>
                <w:sz w:val="20"/>
                <w:szCs w:val="20"/>
                <w:lang w:val="en-NZ" w:eastAsia="en-NZ"/>
              </w:rPr>
              <w:t>Dalziel</w:t>
            </w:r>
            <w:proofErr w:type="spellEnd"/>
          </w:p>
        </w:tc>
        <w:tc>
          <w:tcPr>
            <w:tcW w:w="148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Intervention</w:t>
            </w:r>
          </w:p>
        </w:tc>
        <w:tc>
          <w:tcPr>
            <w:tcW w:w="1305"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22/10/2015</w:t>
            </w:r>
          </w:p>
        </w:tc>
        <w:tc>
          <w:tcPr>
            <w:tcW w:w="1247"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F57F1D">
              <w:rPr>
                <w:rFonts w:cs="Arial"/>
                <w:color w:val="000000"/>
                <w:sz w:val="20"/>
                <w:szCs w:val="20"/>
                <w:lang w:val="en-NZ" w:eastAsia="en-NZ"/>
              </w:rPr>
              <w:t>11/11/2015</w:t>
            </w:r>
          </w:p>
        </w:tc>
        <w:tc>
          <w:tcPr>
            <w:tcW w:w="1558"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702" w:type="dxa"/>
            <w:vAlign w:val="center"/>
            <w:hideMark/>
          </w:tcPr>
          <w:p w:rsidR="00A841C4" w:rsidRPr="00F57F1D"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bl>
    <w:p w:rsidR="007756F4" w:rsidRPr="007D230E" w:rsidRDefault="007756F4" w:rsidP="00445A67">
      <w:pPr>
        <w:rPr>
          <w:rFonts w:cs="Arial"/>
        </w:rPr>
      </w:pPr>
    </w:p>
    <w:p w:rsidR="003343B4" w:rsidRPr="007D230E" w:rsidRDefault="003343B4" w:rsidP="00445A67">
      <w:pPr>
        <w:rPr>
          <w:rFonts w:cs="Arial"/>
          <w:b/>
          <w:bCs/>
          <w:i/>
          <w:iCs/>
          <w:sz w:val="28"/>
          <w:szCs w:val="28"/>
          <w:u w:val="single"/>
        </w:rPr>
      </w:pPr>
      <w:bookmarkStart w:id="38" w:name="_Toc271030699"/>
    </w:p>
    <w:p w:rsidR="0040216C" w:rsidRPr="007D230E" w:rsidRDefault="0040216C" w:rsidP="00445A67">
      <w:pPr>
        <w:spacing w:after="200"/>
        <w:rPr>
          <w:rFonts w:cs="Arial"/>
          <w:b/>
          <w:bCs/>
          <w:i/>
          <w:iCs/>
          <w:sz w:val="28"/>
          <w:szCs w:val="28"/>
          <w:u w:val="single"/>
        </w:rPr>
      </w:pPr>
      <w:r w:rsidRPr="007D230E">
        <w:rPr>
          <w:rFonts w:cs="Arial"/>
          <w:b/>
          <w:bCs/>
          <w:i/>
          <w:iCs/>
          <w:sz w:val="28"/>
          <w:szCs w:val="28"/>
          <w:u w:val="single"/>
        </w:rPr>
        <w:br w:type="page"/>
      </w:r>
    </w:p>
    <w:p w:rsidR="0040216C" w:rsidRPr="007D230E" w:rsidRDefault="0040216C" w:rsidP="00445A67">
      <w:pPr>
        <w:pStyle w:val="Heading2"/>
        <w:rPr>
          <w:i w:val="0"/>
        </w:rPr>
      </w:pPr>
      <w:bookmarkStart w:id="39" w:name="_Toc526403852"/>
      <w:r w:rsidRPr="007D230E">
        <w:rPr>
          <w:i w:val="0"/>
        </w:rPr>
        <w:lastRenderedPageBreak/>
        <w:t>Applications reviewed by expedited review</w:t>
      </w:r>
      <w:bookmarkEnd w:id="38"/>
      <w:bookmarkEnd w:id="39"/>
    </w:p>
    <w:tbl>
      <w:tblPr>
        <w:tblStyle w:val="GridTable6Colorful"/>
        <w:tblW w:w="15232" w:type="dxa"/>
        <w:tblInd w:w="-572" w:type="dxa"/>
        <w:tblLook w:val="04A0" w:firstRow="1" w:lastRow="0" w:firstColumn="1" w:lastColumn="0" w:noHBand="0" w:noVBand="1"/>
      </w:tblPr>
      <w:tblGrid>
        <w:gridCol w:w="1295"/>
        <w:gridCol w:w="1339"/>
        <w:gridCol w:w="3324"/>
        <w:gridCol w:w="2428"/>
        <w:gridCol w:w="1574"/>
        <w:gridCol w:w="1318"/>
        <w:gridCol w:w="1318"/>
        <w:gridCol w:w="1318"/>
        <w:gridCol w:w="1318"/>
      </w:tblGrid>
      <w:tr w:rsidR="00A841C4" w:rsidRPr="00187250" w:rsidTr="00A841C4">
        <w:trPr>
          <w:cnfStyle w:val="100000000000" w:firstRow="1" w:lastRow="0" w:firstColumn="0" w:lastColumn="0" w:oddVBand="0" w:evenVBand="0" w:oddHBand="0"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b w:val="0"/>
                <w:bCs w:val="0"/>
                <w:color w:val="000000"/>
                <w:sz w:val="20"/>
                <w:szCs w:val="20"/>
                <w:lang w:val="en-NZ" w:eastAsia="en-NZ"/>
              </w:rPr>
            </w:pPr>
            <w:r w:rsidRPr="00187250">
              <w:rPr>
                <w:rFonts w:cs="Arial"/>
                <w:color w:val="000000"/>
                <w:sz w:val="20"/>
                <w:szCs w:val="20"/>
                <w:lang w:val="en-NZ" w:eastAsia="en-NZ"/>
              </w:rPr>
              <w:t>Study reference</w:t>
            </w:r>
          </w:p>
        </w:tc>
        <w:tc>
          <w:tcPr>
            <w:tcW w:w="1339" w:type="dxa"/>
            <w:vAlign w:val="center"/>
            <w:hideMark/>
          </w:tcPr>
          <w:p w:rsidR="00A841C4" w:rsidRPr="00187250" w:rsidRDefault="00A841C4" w:rsidP="00A841C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Study status</w:t>
            </w:r>
          </w:p>
        </w:tc>
        <w:tc>
          <w:tcPr>
            <w:tcW w:w="3324" w:type="dxa"/>
            <w:vAlign w:val="center"/>
            <w:hideMark/>
          </w:tcPr>
          <w:p w:rsidR="00A841C4" w:rsidRPr="00187250" w:rsidRDefault="00A841C4" w:rsidP="00A841C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Short title</w:t>
            </w:r>
          </w:p>
        </w:tc>
        <w:tc>
          <w:tcPr>
            <w:tcW w:w="2428" w:type="dxa"/>
            <w:vAlign w:val="center"/>
            <w:hideMark/>
          </w:tcPr>
          <w:p w:rsidR="00A841C4" w:rsidRPr="00187250" w:rsidRDefault="00A841C4" w:rsidP="009872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 xml:space="preserve">Co-ordinating </w:t>
            </w:r>
            <w:r w:rsidR="009872A1">
              <w:rPr>
                <w:rFonts w:cs="Arial"/>
                <w:color w:val="000000"/>
                <w:sz w:val="20"/>
                <w:szCs w:val="20"/>
                <w:lang w:val="en-NZ" w:eastAsia="en-NZ"/>
              </w:rPr>
              <w:t>i</w:t>
            </w:r>
            <w:r w:rsidRPr="00187250">
              <w:rPr>
                <w:rFonts w:cs="Arial"/>
                <w:color w:val="000000"/>
                <w:sz w:val="20"/>
                <w:szCs w:val="20"/>
                <w:lang w:val="en-NZ" w:eastAsia="en-NZ"/>
              </w:rPr>
              <w:t>nvestigator</w:t>
            </w:r>
          </w:p>
        </w:tc>
        <w:tc>
          <w:tcPr>
            <w:tcW w:w="1574" w:type="dxa"/>
            <w:vAlign w:val="center"/>
            <w:hideMark/>
          </w:tcPr>
          <w:p w:rsidR="00A841C4" w:rsidRPr="00187250" w:rsidRDefault="00A841C4" w:rsidP="00A841C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Application type</w:t>
            </w:r>
          </w:p>
        </w:tc>
        <w:tc>
          <w:tcPr>
            <w:tcW w:w="1318" w:type="dxa"/>
            <w:vAlign w:val="center"/>
            <w:hideMark/>
          </w:tcPr>
          <w:p w:rsidR="00A841C4" w:rsidRPr="00187250" w:rsidRDefault="00A841C4" w:rsidP="009872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 xml:space="preserve">Date </w:t>
            </w:r>
            <w:r w:rsidR="009872A1">
              <w:rPr>
                <w:rFonts w:cs="Arial"/>
                <w:color w:val="000000"/>
                <w:sz w:val="20"/>
                <w:szCs w:val="20"/>
                <w:lang w:val="en-NZ" w:eastAsia="en-NZ"/>
              </w:rPr>
              <w:t>a</w:t>
            </w:r>
            <w:r w:rsidRPr="00187250">
              <w:rPr>
                <w:rFonts w:cs="Arial"/>
                <w:color w:val="000000"/>
                <w:sz w:val="20"/>
                <w:szCs w:val="20"/>
                <w:lang w:val="en-NZ" w:eastAsia="en-NZ"/>
              </w:rPr>
              <w:t xml:space="preserve">pplication </w:t>
            </w:r>
            <w:r w:rsidR="009872A1">
              <w:rPr>
                <w:rFonts w:cs="Arial"/>
                <w:color w:val="000000"/>
                <w:sz w:val="20"/>
                <w:szCs w:val="20"/>
                <w:lang w:val="en-NZ" w:eastAsia="en-NZ"/>
              </w:rPr>
              <w:t>v</w:t>
            </w:r>
            <w:r w:rsidRPr="00187250">
              <w:rPr>
                <w:rFonts w:cs="Arial"/>
                <w:color w:val="000000"/>
                <w:sz w:val="20"/>
                <w:szCs w:val="20"/>
                <w:lang w:val="en-NZ" w:eastAsia="en-NZ"/>
              </w:rPr>
              <w:t>alidated</w:t>
            </w:r>
          </w:p>
        </w:tc>
        <w:tc>
          <w:tcPr>
            <w:tcW w:w="1318" w:type="dxa"/>
            <w:vAlign w:val="center"/>
            <w:hideMark/>
          </w:tcPr>
          <w:p w:rsidR="00A841C4" w:rsidRPr="00187250" w:rsidRDefault="00A841C4" w:rsidP="009872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 xml:space="preserve">Date of </w:t>
            </w:r>
            <w:r w:rsidR="009872A1">
              <w:rPr>
                <w:rFonts w:cs="Arial"/>
                <w:color w:val="000000"/>
                <w:sz w:val="20"/>
                <w:szCs w:val="20"/>
                <w:lang w:val="en-NZ" w:eastAsia="en-NZ"/>
              </w:rPr>
              <w:t>f</w:t>
            </w:r>
            <w:r w:rsidRPr="00187250">
              <w:rPr>
                <w:rFonts w:cs="Arial"/>
                <w:color w:val="000000"/>
                <w:sz w:val="20"/>
                <w:szCs w:val="20"/>
                <w:lang w:val="en-NZ" w:eastAsia="en-NZ"/>
              </w:rPr>
              <w:t xml:space="preserve">irst </w:t>
            </w:r>
            <w:r w:rsidR="009872A1">
              <w:rPr>
                <w:rFonts w:cs="Arial"/>
                <w:color w:val="000000"/>
                <w:sz w:val="20"/>
                <w:szCs w:val="20"/>
                <w:lang w:val="en-NZ" w:eastAsia="en-NZ"/>
              </w:rPr>
              <w:t>d</w:t>
            </w:r>
            <w:r w:rsidRPr="00187250">
              <w:rPr>
                <w:rFonts w:cs="Arial"/>
                <w:color w:val="000000"/>
                <w:sz w:val="20"/>
                <w:szCs w:val="20"/>
                <w:lang w:val="en-NZ" w:eastAsia="en-NZ"/>
              </w:rPr>
              <w:t>ecision</w:t>
            </w:r>
          </w:p>
        </w:tc>
        <w:tc>
          <w:tcPr>
            <w:tcW w:w="1318" w:type="dxa"/>
            <w:vAlign w:val="center"/>
            <w:hideMark/>
          </w:tcPr>
          <w:p w:rsidR="00A841C4" w:rsidRPr="00187250" w:rsidRDefault="00A841C4" w:rsidP="009872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 xml:space="preserve">Provisional </w:t>
            </w:r>
            <w:r w:rsidR="009872A1">
              <w:rPr>
                <w:rFonts w:cs="Arial"/>
                <w:color w:val="000000"/>
                <w:sz w:val="20"/>
                <w:szCs w:val="20"/>
                <w:lang w:val="en-NZ" w:eastAsia="en-NZ"/>
              </w:rPr>
              <w:t>r</w:t>
            </w:r>
            <w:r w:rsidRPr="00187250">
              <w:rPr>
                <w:rFonts w:cs="Arial"/>
                <w:color w:val="000000"/>
                <w:sz w:val="20"/>
                <w:szCs w:val="20"/>
                <w:lang w:val="en-NZ" w:eastAsia="en-NZ"/>
              </w:rPr>
              <w:t xml:space="preserve">esponse </w:t>
            </w:r>
            <w:r w:rsidR="009872A1">
              <w:rPr>
                <w:rFonts w:cs="Arial"/>
                <w:color w:val="000000"/>
                <w:sz w:val="20"/>
                <w:szCs w:val="20"/>
                <w:lang w:val="en-NZ" w:eastAsia="en-NZ"/>
              </w:rPr>
              <w:t>r</w:t>
            </w:r>
            <w:r w:rsidRPr="00187250">
              <w:rPr>
                <w:rFonts w:cs="Arial"/>
                <w:color w:val="000000"/>
                <w:sz w:val="20"/>
                <w:szCs w:val="20"/>
                <w:lang w:val="en-NZ" w:eastAsia="en-NZ"/>
              </w:rPr>
              <w:t>eceived</w:t>
            </w:r>
          </w:p>
        </w:tc>
        <w:tc>
          <w:tcPr>
            <w:tcW w:w="1318" w:type="dxa"/>
            <w:vAlign w:val="center"/>
            <w:hideMark/>
          </w:tcPr>
          <w:p w:rsidR="00A841C4" w:rsidRPr="00187250" w:rsidRDefault="00A841C4" w:rsidP="009872A1">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87250">
              <w:rPr>
                <w:rFonts w:cs="Arial"/>
                <w:color w:val="000000"/>
                <w:sz w:val="20"/>
                <w:szCs w:val="20"/>
                <w:lang w:val="en-NZ" w:eastAsia="en-NZ"/>
              </w:rPr>
              <w:t xml:space="preserve">Date of final </w:t>
            </w:r>
            <w:r w:rsidR="009872A1">
              <w:rPr>
                <w:rFonts w:cs="Arial"/>
                <w:color w:val="000000"/>
                <w:sz w:val="20"/>
                <w:szCs w:val="20"/>
                <w:lang w:val="en-NZ" w:eastAsia="en-NZ"/>
              </w:rPr>
              <w:t>d</w:t>
            </w:r>
            <w:r w:rsidRPr="00187250">
              <w:rPr>
                <w:rFonts w:cs="Arial"/>
                <w:color w:val="000000"/>
                <w:sz w:val="20"/>
                <w:szCs w:val="20"/>
                <w:lang w:val="en-NZ" w:eastAsia="en-NZ"/>
              </w:rPr>
              <w:t>ecision</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15/NTB/13</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Phyllodes</w:t>
            </w:r>
            <w:proofErr w:type="spellEnd"/>
            <w:r w:rsidRPr="00187250">
              <w:rPr>
                <w:rFonts w:cs="Arial"/>
                <w:color w:val="000000"/>
                <w:sz w:val="20"/>
                <w:szCs w:val="20"/>
                <w:lang w:val="en-NZ" w:eastAsia="en-NZ"/>
              </w:rPr>
              <w:t xml:space="preserve"> breast tumours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Anna </w:t>
            </w:r>
            <w:proofErr w:type="spellStart"/>
            <w:r w:rsidRPr="00187250">
              <w:rPr>
                <w:rFonts w:cs="Arial"/>
                <w:color w:val="000000"/>
                <w:sz w:val="20"/>
                <w:szCs w:val="20"/>
                <w:lang w:val="en-NZ" w:eastAsia="en-NZ"/>
              </w:rPr>
              <w:t>Wojtacha</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20/01/2015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29/01/2015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10/02/2015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15/NTB/18</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He </w:t>
            </w:r>
            <w:proofErr w:type="spellStart"/>
            <w:r w:rsidRPr="00187250">
              <w:rPr>
                <w:rFonts w:cs="Arial"/>
                <w:color w:val="000000"/>
                <w:sz w:val="20"/>
                <w:szCs w:val="20"/>
                <w:lang w:val="en-NZ" w:eastAsia="en-NZ"/>
              </w:rPr>
              <w:t>Waipuna</w:t>
            </w:r>
            <w:proofErr w:type="spellEnd"/>
            <w:r w:rsidRPr="00187250">
              <w:rPr>
                <w:rFonts w:cs="Arial"/>
                <w:color w:val="000000"/>
                <w:sz w:val="20"/>
                <w:szCs w:val="20"/>
                <w:lang w:val="en-NZ" w:eastAsia="en-NZ"/>
              </w:rPr>
              <w:t xml:space="preserve"> </w:t>
            </w:r>
            <w:proofErr w:type="spellStart"/>
            <w:r w:rsidRPr="00187250">
              <w:rPr>
                <w:rFonts w:cs="Arial"/>
                <w:color w:val="000000"/>
                <w:sz w:val="20"/>
                <w:szCs w:val="20"/>
                <w:lang w:val="en-NZ" w:eastAsia="en-NZ"/>
              </w:rPr>
              <w:t>Koropupu</w:t>
            </w:r>
            <w:proofErr w:type="spellEnd"/>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Mrs </w:t>
            </w:r>
            <w:proofErr w:type="spellStart"/>
            <w:r w:rsidRPr="00187250">
              <w:rPr>
                <w:rFonts w:cs="Arial"/>
                <w:color w:val="000000"/>
                <w:sz w:val="20"/>
                <w:szCs w:val="20"/>
                <w:lang w:val="en-NZ" w:eastAsia="en-NZ"/>
              </w:rPr>
              <w:t>Ngaropi</w:t>
            </w:r>
            <w:proofErr w:type="spellEnd"/>
            <w:r w:rsidRPr="00187250">
              <w:rPr>
                <w:rFonts w:cs="Arial"/>
                <w:color w:val="000000"/>
                <w:sz w:val="20"/>
                <w:szCs w:val="20"/>
                <w:lang w:val="en-NZ" w:eastAsia="en-NZ"/>
              </w:rPr>
              <w:t xml:space="preserve"> D Cameron</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20/01/2015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29/01/2015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26/02/2015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27/02/2015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15/NTB/24</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Māori and CADS se</w:t>
            </w:r>
            <w:r w:rsidR="009872A1">
              <w:rPr>
                <w:rFonts w:cs="Arial"/>
                <w:color w:val="000000"/>
                <w:sz w:val="20"/>
                <w:szCs w:val="20"/>
                <w:lang w:val="en-NZ" w:eastAsia="en-NZ"/>
              </w:rPr>
              <w:t>rvices in Auckland, New Zealand</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Vicki Macfarlane</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26/01/2015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15/04/2015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16/04/2015</w:t>
            </w:r>
          </w:p>
        </w:tc>
      </w:tr>
      <w:tr w:rsidR="00A841C4" w:rsidRPr="00187250" w:rsidTr="00A841C4">
        <w:trPr>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15/NTB/25</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Laparoscopic gastric bypass surgery – a safe and effective operation for the &gt;60s?</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Benedict Mackay</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27/01/2015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10/02/2015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23/02/2015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24/02/2015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15/NTB/27</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Analysis of health benefits of Olive Leaf extract using </w:t>
            </w:r>
            <w:proofErr w:type="spellStart"/>
            <w:r w:rsidRPr="00187250">
              <w:rPr>
                <w:rFonts w:cs="Arial"/>
                <w:color w:val="000000"/>
                <w:sz w:val="20"/>
                <w:szCs w:val="20"/>
                <w:lang w:val="en-NZ" w:eastAsia="en-NZ"/>
              </w:rPr>
              <w:t>transcriptomics</w:t>
            </w:r>
            <w:proofErr w:type="spellEnd"/>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Professor Lynnette R. Ferguson</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4/02/2015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19/02/2015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24/02/2015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15/NTB/29</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RNA expression in the human </w:t>
            </w:r>
            <w:proofErr w:type="spellStart"/>
            <w:r w:rsidR="009872A1">
              <w:rPr>
                <w:rFonts w:cs="Arial"/>
                <w:color w:val="000000"/>
                <w:sz w:val="20"/>
                <w:szCs w:val="20"/>
                <w:lang w:val="en-NZ" w:eastAsia="en-NZ"/>
              </w:rPr>
              <w:t>erythroid</w:t>
            </w:r>
            <w:proofErr w:type="spellEnd"/>
            <w:r w:rsidR="009872A1">
              <w:rPr>
                <w:rFonts w:cs="Arial"/>
                <w:color w:val="000000"/>
                <w:sz w:val="20"/>
                <w:szCs w:val="20"/>
                <w:lang w:val="en-NZ" w:eastAsia="en-NZ"/>
              </w:rPr>
              <w:t xml:space="preserve"> precursor compartment</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Mr Leon </w:t>
            </w:r>
            <w:proofErr w:type="spellStart"/>
            <w:r w:rsidRPr="00187250">
              <w:rPr>
                <w:rFonts w:cs="Arial"/>
                <w:color w:val="000000"/>
                <w:sz w:val="20"/>
                <w:szCs w:val="20"/>
                <w:lang w:val="en-NZ" w:eastAsia="en-NZ"/>
              </w:rPr>
              <w:t>Griner</w:t>
            </w:r>
            <w:proofErr w:type="spellEnd"/>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10/02/2015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18/02/2015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15/NTB/30</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T3 triple threat</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Professor Christopher </w:t>
            </w:r>
            <w:proofErr w:type="spellStart"/>
            <w:r w:rsidRPr="00187250">
              <w:rPr>
                <w:rFonts w:cs="Arial"/>
                <w:color w:val="000000"/>
                <w:sz w:val="20"/>
                <w:szCs w:val="20"/>
                <w:lang w:val="en-NZ" w:eastAsia="en-NZ"/>
              </w:rPr>
              <w:t>Bullen</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17/02/2015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16/03/2015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18/03/2015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15/NTB/46</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Use of a fibre supplement by renal dialysis patients</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Mr Chester Edwards</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25/02/2015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6/03/2015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19/03/2015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23/03/2015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15/NTB/47</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9872A1">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Feasibility and cost-effectiveness of screening M</w:t>
            </w:r>
            <w:r w:rsidR="009872A1">
              <w:rPr>
                <w:rFonts w:cs="Arial"/>
                <w:color w:val="000000"/>
                <w:sz w:val="20"/>
                <w:szCs w:val="20"/>
                <w:lang w:val="en-NZ" w:eastAsia="en-NZ"/>
              </w:rPr>
              <w:t>ā</w:t>
            </w:r>
            <w:r w:rsidRPr="00187250">
              <w:rPr>
                <w:rFonts w:cs="Arial"/>
                <w:color w:val="000000"/>
                <w:sz w:val="20"/>
                <w:szCs w:val="20"/>
                <w:lang w:val="en-NZ" w:eastAsia="en-NZ"/>
              </w:rPr>
              <w:t>ori for abdominal aortic aneurysm</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Peter </w:t>
            </w:r>
            <w:proofErr w:type="spellStart"/>
            <w:r w:rsidRPr="00187250">
              <w:rPr>
                <w:rFonts w:cs="Arial"/>
                <w:color w:val="000000"/>
                <w:sz w:val="20"/>
                <w:szCs w:val="20"/>
                <w:lang w:val="en-NZ" w:eastAsia="en-NZ"/>
              </w:rPr>
              <w:t>Sandiford</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26/02/2015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12/03/2015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15/NTB/51</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Group-based Low Intensity CBT Self-help for Older Adults</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Mr James Martyn</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19/03/2015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13/04/2015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14/05/2015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20/05/2015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15/NTB/69</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Blood pressure, pulse and oxygen saturation values in neonates and preschool children</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Brian J Anderson</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24/03/2015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7/04/2015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8/05/2015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20/05/2015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15/NTB/68</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Assessing language function in individuals undergoing tumour surgery</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Carolyn Wilshire</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25/03/2015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7/04/2015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7/07/2015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8/07/2015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lastRenderedPageBreak/>
              <w:t>15/NTB/65</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SCFE: PSA as a Predictor of Functional outcomes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Paul Phillips</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27/03/2015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7/04/2015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11/05/2015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20/05/2015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15/NTB/70</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Balloon Tip Study</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Patricia Ding</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27/03/2015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7/04/2015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4/06/2015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10/06/2015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15/NTB/71</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GENITAL WARTS DIAGNOSES – Five years of HPV4 and how low can we go?</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Jeannie Oliphant</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16/04/2015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4/05/2015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15/NTB/76</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myAIRVO</w:t>
            </w:r>
            <w:proofErr w:type="spellEnd"/>
            <w:r w:rsidRPr="00187250">
              <w:rPr>
                <w:rFonts w:cs="Arial"/>
                <w:color w:val="000000"/>
                <w:sz w:val="20"/>
                <w:szCs w:val="20"/>
                <w:lang w:val="en-NZ" w:eastAsia="en-NZ"/>
              </w:rPr>
              <w:t xml:space="preserve"> 2 </w:t>
            </w:r>
            <w:proofErr w:type="spellStart"/>
            <w:r w:rsidRPr="00187250">
              <w:rPr>
                <w:rFonts w:cs="Arial"/>
                <w:color w:val="000000"/>
                <w:sz w:val="20"/>
                <w:szCs w:val="20"/>
                <w:lang w:val="en-NZ" w:eastAsia="en-NZ"/>
              </w:rPr>
              <w:t>Optiflow</w:t>
            </w:r>
            <w:proofErr w:type="spellEnd"/>
            <w:r w:rsidRPr="00187250">
              <w:rPr>
                <w:rFonts w:cs="Arial"/>
                <w:color w:val="000000"/>
                <w:sz w:val="20"/>
                <w:szCs w:val="20"/>
                <w:lang w:val="en-NZ" w:eastAsia="en-NZ"/>
              </w:rPr>
              <w:t xml:space="preserve"> Junior Cannula Home Usability Study</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James </w:t>
            </w:r>
            <w:proofErr w:type="spellStart"/>
            <w:r w:rsidRPr="00187250">
              <w:rPr>
                <w:rFonts w:cs="Arial"/>
                <w:color w:val="000000"/>
                <w:sz w:val="20"/>
                <w:szCs w:val="20"/>
                <w:lang w:val="en-NZ" w:eastAsia="en-NZ"/>
              </w:rPr>
              <w:t>Revie</w:t>
            </w:r>
            <w:proofErr w:type="spellEnd"/>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20/04/2015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22/04/2015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15/NTB/74</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DISCO study</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Luciana </w:t>
            </w:r>
            <w:proofErr w:type="spellStart"/>
            <w:r w:rsidRPr="00187250">
              <w:rPr>
                <w:rFonts w:cs="Arial"/>
                <w:color w:val="000000"/>
                <w:sz w:val="20"/>
                <w:szCs w:val="20"/>
                <w:lang w:val="en-NZ" w:eastAsia="en-NZ"/>
              </w:rPr>
              <w:t>Marcondes</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24/04/2015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30/04/2015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20/05/2015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15/NTB/83</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TB in ESRD</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JUN SEOK SUH</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1/05/2015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14/05/2015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18/05/2015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20/05/2015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15/NTB/84</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What value does </w:t>
            </w:r>
            <w:proofErr w:type="spellStart"/>
            <w:r w:rsidRPr="00187250">
              <w:rPr>
                <w:rFonts w:cs="Arial"/>
                <w:color w:val="000000"/>
                <w:sz w:val="20"/>
                <w:szCs w:val="20"/>
                <w:lang w:val="en-NZ" w:eastAsia="en-NZ"/>
              </w:rPr>
              <w:t>telehealth</w:t>
            </w:r>
            <w:proofErr w:type="spellEnd"/>
            <w:r w:rsidR="009872A1">
              <w:rPr>
                <w:rFonts w:cs="Arial"/>
                <w:color w:val="000000"/>
                <w:sz w:val="20"/>
                <w:szCs w:val="20"/>
                <w:lang w:val="en-NZ" w:eastAsia="en-NZ"/>
              </w:rPr>
              <w:t xml:space="preserve"> </w:t>
            </w:r>
            <w:r w:rsidRPr="00187250">
              <w:rPr>
                <w:rFonts w:cs="Arial"/>
                <w:color w:val="000000"/>
                <w:sz w:val="20"/>
                <w:szCs w:val="20"/>
                <w:lang w:val="en-NZ" w:eastAsia="en-NZ"/>
              </w:rPr>
              <w:t>care offer older people with long term health issues?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Ms Hilda Johnson-</w:t>
            </w:r>
            <w:proofErr w:type="spellStart"/>
            <w:r w:rsidRPr="00187250">
              <w:rPr>
                <w:rFonts w:cs="Arial"/>
                <w:color w:val="000000"/>
                <w:sz w:val="20"/>
                <w:szCs w:val="20"/>
                <w:lang w:val="en-NZ" w:eastAsia="en-NZ"/>
              </w:rPr>
              <w:t>Bogaerts</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5/05/2015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25/05/2015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26/05/2015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15/NTB/85</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Decline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TA TME v Lap TME</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Brendan </w:t>
            </w:r>
            <w:proofErr w:type="spellStart"/>
            <w:r w:rsidRPr="00187250">
              <w:rPr>
                <w:rFonts w:cs="Arial"/>
                <w:color w:val="000000"/>
                <w:sz w:val="20"/>
                <w:szCs w:val="20"/>
                <w:lang w:val="en-NZ" w:eastAsia="en-NZ"/>
              </w:rPr>
              <w:t>Mcmanus</w:t>
            </w:r>
            <w:proofErr w:type="spellEnd"/>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8/05/2015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28/05/2015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15/NTB/89</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NIV Comfort Study</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Geoff Bold</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26/05/2015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15/NTB/101</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Parental reporting of infant feeding practices</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w:t>
            </w:r>
            <w:proofErr w:type="spellStart"/>
            <w:r w:rsidRPr="00187250">
              <w:rPr>
                <w:rFonts w:cs="Arial"/>
                <w:color w:val="000000"/>
                <w:sz w:val="20"/>
                <w:szCs w:val="20"/>
                <w:lang w:val="en-NZ" w:eastAsia="en-NZ"/>
              </w:rPr>
              <w:t>Cathryn</w:t>
            </w:r>
            <w:proofErr w:type="spellEnd"/>
            <w:r w:rsidRPr="00187250">
              <w:rPr>
                <w:rFonts w:cs="Arial"/>
                <w:color w:val="000000"/>
                <w:sz w:val="20"/>
                <w:szCs w:val="20"/>
                <w:lang w:val="en-NZ" w:eastAsia="en-NZ"/>
              </w:rPr>
              <w:t xml:space="preserve"> Conlon</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26/05/2015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4/06/2015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10/06/2015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15/NTB/102</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Retrospective </w:t>
            </w:r>
            <w:proofErr w:type="spellStart"/>
            <w:r w:rsidRPr="00187250">
              <w:rPr>
                <w:rFonts w:cs="Arial"/>
                <w:color w:val="000000"/>
                <w:sz w:val="20"/>
                <w:szCs w:val="20"/>
                <w:lang w:val="en-NZ" w:eastAsia="en-NZ"/>
              </w:rPr>
              <w:t>Cxbladder</w:t>
            </w:r>
            <w:proofErr w:type="spellEnd"/>
            <w:r w:rsidRPr="00187250">
              <w:rPr>
                <w:rFonts w:cs="Arial"/>
                <w:color w:val="000000"/>
                <w:sz w:val="20"/>
                <w:szCs w:val="20"/>
                <w:lang w:val="en-NZ" w:eastAsia="en-NZ"/>
              </w:rPr>
              <w:t xml:space="preserve"> Triage Analysis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Mr Mark </w:t>
            </w:r>
            <w:proofErr w:type="spellStart"/>
            <w:r w:rsidRPr="00187250">
              <w:rPr>
                <w:rFonts w:cs="Arial"/>
                <w:color w:val="000000"/>
                <w:sz w:val="20"/>
                <w:szCs w:val="20"/>
                <w:lang w:val="en-NZ" w:eastAsia="en-NZ"/>
              </w:rPr>
              <w:t>Fraundorfer</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27/05/2015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10/06/2015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2/09/2015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4/09/2015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15/NTB/103</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Decline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Effect of hydration on ima</w:t>
            </w:r>
            <w:r w:rsidR="009872A1">
              <w:rPr>
                <w:rFonts w:cs="Arial"/>
                <w:color w:val="000000"/>
                <w:sz w:val="20"/>
                <w:szCs w:val="20"/>
                <w:lang w:val="en-NZ" w:eastAsia="en-NZ"/>
              </w:rPr>
              <w:t xml:space="preserve">ge quality in bone </w:t>
            </w:r>
            <w:proofErr w:type="spellStart"/>
            <w:r w:rsidR="009872A1">
              <w:rPr>
                <w:rFonts w:cs="Arial"/>
                <w:color w:val="000000"/>
                <w:sz w:val="20"/>
                <w:szCs w:val="20"/>
                <w:lang w:val="en-NZ" w:eastAsia="en-NZ"/>
              </w:rPr>
              <w:t>Scintigraphy</w:t>
            </w:r>
            <w:proofErr w:type="spellEnd"/>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Mr Nick </w:t>
            </w:r>
            <w:proofErr w:type="spellStart"/>
            <w:r w:rsidRPr="00187250">
              <w:rPr>
                <w:rFonts w:cs="Arial"/>
                <w:color w:val="000000"/>
                <w:sz w:val="20"/>
                <w:szCs w:val="20"/>
                <w:lang w:val="en-NZ" w:eastAsia="en-NZ"/>
              </w:rPr>
              <w:t>Mafi</w:t>
            </w:r>
            <w:proofErr w:type="spellEnd"/>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19/06/2015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15/NTB/109</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Decline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Reverse Shoulder Replacement Review</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Mr Brett Krause</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11/06/2015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7/07/2015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15/NTB/112</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Simplus</w:t>
            </w:r>
            <w:proofErr w:type="spellEnd"/>
            <w:r w:rsidRPr="00187250">
              <w:rPr>
                <w:rFonts w:cs="Arial"/>
                <w:color w:val="000000"/>
                <w:sz w:val="20"/>
                <w:szCs w:val="20"/>
                <w:lang w:val="en-NZ" w:eastAsia="en-NZ"/>
              </w:rPr>
              <w:t xml:space="preserve"> and </w:t>
            </w:r>
            <w:proofErr w:type="spellStart"/>
            <w:r w:rsidRPr="00187250">
              <w:rPr>
                <w:rFonts w:cs="Arial"/>
                <w:color w:val="000000"/>
                <w:sz w:val="20"/>
                <w:szCs w:val="20"/>
                <w:lang w:val="en-NZ" w:eastAsia="en-NZ"/>
              </w:rPr>
              <w:t>Eson</w:t>
            </w:r>
            <w:proofErr w:type="spellEnd"/>
            <w:r w:rsidRPr="00187250">
              <w:rPr>
                <w:rFonts w:cs="Arial"/>
                <w:color w:val="000000"/>
                <w:sz w:val="20"/>
                <w:szCs w:val="20"/>
                <w:lang w:val="en-NZ" w:eastAsia="en-NZ"/>
              </w:rPr>
              <w:t xml:space="preserve"> Evaluation in Obesity Hypoventilation Syndrome (NZ)</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Miss Irene Cheung</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11/06/2015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23/06/2015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25/06/2015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15/NTB/114</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Prevalence of frailty in dialysis and transplant patients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Katherine Bloomfield</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17/06/2015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23/06/2015</w:t>
            </w:r>
          </w:p>
        </w:tc>
      </w:tr>
      <w:tr w:rsidR="00A841C4" w:rsidRPr="00187250" w:rsidTr="00A841C4">
        <w:trPr>
          <w:trHeight w:val="114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15/NTB/111</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Cognitive, </w:t>
            </w:r>
            <w:proofErr w:type="spellStart"/>
            <w:r w:rsidRPr="00187250">
              <w:rPr>
                <w:rFonts w:cs="Arial"/>
                <w:color w:val="000000"/>
                <w:sz w:val="20"/>
                <w:szCs w:val="20"/>
                <w:lang w:val="en-NZ" w:eastAsia="en-NZ"/>
              </w:rPr>
              <w:t>emotional,and</w:t>
            </w:r>
            <w:proofErr w:type="spellEnd"/>
            <w:r w:rsidRPr="00187250">
              <w:rPr>
                <w:rFonts w:cs="Arial"/>
                <w:color w:val="000000"/>
                <w:sz w:val="20"/>
                <w:szCs w:val="20"/>
                <w:lang w:val="en-NZ" w:eastAsia="en-NZ"/>
              </w:rPr>
              <w:t xml:space="preserve"> quality of life variables associated with medically explained and unexplained physical symptoms</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Miss Dan (Summer) </w:t>
            </w:r>
            <w:proofErr w:type="spellStart"/>
            <w:r w:rsidRPr="00187250">
              <w:rPr>
                <w:rFonts w:cs="Arial"/>
                <w:color w:val="000000"/>
                <w:sz w:val="20"/>
                <w:szCs w:val="20"/>
                <w:lang w:val="en-NZ" w:eastAsia="en-NZ"/>
              </w:rPr>
              <w:t>Guo</w:t>
            </w:r>
            <w:proofErr w:type="spellEnd"/>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25/06/2015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2/07/2015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7/07/2015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15/NTB/123</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Otago</w:t>
            </w:r>
            <w:proofErr w:type="spellEnd"/>
            <w:r w:rsidRPr="00187250">
              <w:rPr>
                <w:rFonts w:cs="Arial"/>
                <w:color w:val="000000"/>
                <w:sz w:val="20"/>
                <w:szCs w:val="20"/>
                <w:lang w:val="en-NZ" w:eastAsia="en-NZ"/>
              </w:rPr>
              <w:t xml:space="preserve"> Women’s Health Survey, Child Sexual Abuse Study III: Phase Two</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Charlene </w:t>
            </w:r>
            <w:proofErr w:type="spellStart"/>
            <w:r w:rsidRPr="00187250">
              <w:rPr>
                <w:rFonts w:cs="Arial"/>
                <w:color w:val="000000"/>
                <w:sz w:val="20"/>
                <w:szCs w:val="20"/>
                <w:lang w:val="en-NZ" w:eastAsia="en-NZ"/>
              </w:rPr>
              <w:t>Rapsey</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25/06/2015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9/07/2015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21/07/2015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22/07/2015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15/NTB/122</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Referrals to Special Needs Dentistry</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Daniel </w:t>
            </w:r>
            <w:proofErr w:type="spellStart"/>
            <w:r w:rsidRPr="00187250">
              <w:rPr>
                <w:rFonts w:cs="Arial"/>
                <w:color w:val="000000"/>
                <w:sz w:val="20"/>
                <w:szCs w:val="20"/>
                <w:lang w:val="en-NZ" w:eastAsia="en-NZ"/>
              </w:rPr>
              <w:t>Sundaresan</w:t>
            </w:r>
            <w:proofErr w:type="spellEnd"/>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7/07/2015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14/07/2015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27/07/2015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12/08/2015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lastRenderedPageBreak/>
              <w:t>15/NTB/127</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Owning My Gout</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Rebecca Lawn</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16/07/2015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27/07/2015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19/08/2015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20/08/2015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15/NTB/141</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ANZPaed</w:t>
            </w:r>
            <w:proofErr w:type="spellEnd"/>
            <w:r w:rsidRPr="00187250">
              <w:rPr>
                <w:rFonts w:cs="Arial"/>
                <w:color w:val="000000"/>
                <w:sz w:val="20"/>
                <w:szCs w:val="20"/>
                <w:lang w:val="en-NZ" w:eastAsia="en-NZ"/>
              </w:rPr>
              <w:t xml:space="preserve"> TB database</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Lesley Voss</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29/07/2015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6/08/2015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15/NTB/144</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Why do I feel faint in pregnancy?</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Professor Edwin Mitchell</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18/08/2015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24/08/2015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15/NTB/161</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9872A1"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Cognition and exercise in PD</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Professor John </w:t>
            </w:r>
            <w:proofErr w:type="spellStart"/>
            <w:r w:rsidRPr="00187250">
              <w:rPr>
                <w:rFonts w:cs="Arial"/>
                <w:color w:val="000000"/>
                <w:sz w:val="20"/>
                <w:szCs w:val="20"/>
                <w:lang w:val="en-NZ" w:eastAsia="en-NZ"/>
              </w:rPr>
              <w:t>Dalrymple</w:t>
            </w:r>
            <w:proofErr w:type="spellEnd"/>
            <w:r w:rsidRPr="00187250">
              <w:rPr>
                <w:rFonts w:cs="Arial"/>
                <w:color w:val="000000"/>
                <w:sz w:val="20"/>
                <w:szCs w:val="20"/>
                <w:lang w:val="en-NZ" w:eastAsia="en-NZ"/>
              </w:rPr>
              <w:t>-Alford</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27/08/2015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14/09/2015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17/09/2015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15/NTB/162</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 Prospective Observational Study of Patients with Advanced Basal Cell Carcinoma (</w:t>
            </w:r>
            <w:proofErr w:type="spellStart"/>
            <w:r w:rsidRPr="00187250">
              <w:rPr>
                <w:rFonts w:cs="Arial"/>
                <w:color w:val="000000"/>
                <w:sz w:val="20"/>
                <w:szCs w:val="20"/>
                <w:lang w:val="en-NZ" w:eastAsia="en-NZ"/>
              </w:rPr>
              <w:t>aBCC</w:t>
            </w:r>
            <w:proofErr w:type="spellEnd"/>
            <w:r w:rsidRPr="00187250">
              <w:rPr>
                <w:rFonts w:cs="Arial"/>
                <w:color w:val="000000"/>
                <w:sz w:val="20"/>
                <w:szCs w:val="20"/>
                <w:lang w:val="en-NZ" w:eastAsia="en-NZ"/>
              </w:rPr>
              <w:t>)</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Mr Richard C W Martin</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27/08/2015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2/09/2015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15/NTB/164</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RAPPER 2</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Nicholas C Birch</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4/09/2015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17/09/2015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1/12/2015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2/12/2015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15/NTB/165</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Oxidative stress in obesity and diabetes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Andree Pearson</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4/09/2015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16/09/2015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19/10/2015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22/10/2015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15/NTB/169</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Evaluation of </w:t>
            </w:r>
            <w:proofErr w:type="spellStart"/>
            <w:r w:rsidRPr="00187250">
              <w:rPr>
                <w:rFonts w:cs="Arial"/>
                <w:color w:val="000000"/>
                <w:sz w:val="20"/>
                <w:szCs w:val="20"/>
                <w:lang w:val="en-NZ" w:eastAsia="en-NZ"/>
              </w:rPr>
              <w:t>dermatoscopic</w:t>
            </w:r>
            <w:proofErr w:type="spellEnd"/>
            <w:r w:rsidRPr="00187250">
              <w:rPr>
                <w:rFonts w:cs="Arial"/>
                <w:color w:val="000000"/>
                <w:sz w:val="20"/>
                <w:szCs w:val="20"/>
                <w:lang w:val="en-NZ" w:eastAsia="en-NZ"/>
              </w:rPr>
              <w:t xml:space="preserve"> photographs taken with an iPhone</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Assoc</w:t>
            </w:r>
            <w:proofErr w:type="spellEnd"/>
            <w:r w:rsidRPr="00187250">
              <w:rPr>
                <w:rFonts w:cs="Arial"/>
                <w:color w:val="000000"/>
                <w:sz w:val="20"/>
                <w:szCs w:val="20"/>
                <w:lang w:val="en-NZ" w:eastAsia="en-NZ"/>
              </w:rPr>
              <w:t xml:space="preserve"> Prof Amanda Oakley</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11/09/2015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17/09/2015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28/09/2015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15/NTB/175</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Prediction of Resting Energy Expenditure in Overweight &amp; Obese Maori &amp; Pacific Islanders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Brian Corley</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15/09/2015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18/09/2015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7/10/2015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15/10/2015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15/NTB/176</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Stability database for chemo</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Mr Ian Costello</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16/09/2015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17/09/2015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23/09/2015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29/09/2015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15/NTB/179</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Aesthetic outcome and patient satisfaction after breast conserving surgery</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Michelle </w:t>
            </w:r>
            <w:proofErr w:type="spellStart"/>
            <w:r w:rsidRPr="00187250">
              <w:rPr>
                <w:rFonts w:cs="Arial"/>
                <w:color w:val="000000"/>
                <w:sz w:val="20"/>
                <w:szCs w:val="20"/>
                <w:lang w:val="en-NZ" w:eastAsia="en-NZ"/>
              </w:rPr>
              <w:t>Kweon</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17/09/2015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24/09/2015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2/10/2015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28/10/2015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15/NTB/174</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Management of gonorrhoea in the Auckland Region</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Mark Thomas</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23/09/2015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29/09/2015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6/10/2015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9/10/2015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15/NTB/197</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Provisionally 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Gut </w:t>
            </w:r>
            <w:proofErr w:type="spellStart"/>
            <w:r w:rsidRPr="00187250">
              <w:rPr>
                <w:rFonts w:cs="Arial"/>
                <w:color w:val="000000"/>
                <w:sz w:val="20"/>
                <w:szCs w:val="20"/>
                <w:lang w:val="en-NZ" w:eastAsia="en-NZ"/>
              </w:rPr>
              <w:t>microbiota</w:t>
            </w:r>
            <w:proofErr w:type="spellEnd"/>
            <w:r w:rsidRPr="00187250">
              <w:rPr>
                <w:rFonts w:cs="Arial"/>
                <w:color w:val="000000"/>
                <w:sz w:val="20"/>
                <w:szCs w:val="20"/>
                <w:lang w:val="en-NZ" w:eastAsia="en-NZ"/>
              </w:rPr>
              <w:t xml:space="preserve"> and metabolic effects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Maggie </w:t>
            </w:r>
            <w:proofErr w:type="spellStart"/>
            <w:r w:rsidRPr="00187250">
              <w:rPr>
                <w:rFonts w:cs="Arial"/>
                <w:color w:val="000000"/>
                <w:sz w:val="20"/>
                <w:szCs w:val="20"/>
                <w:lang w:val="en-NZ" w:eastAsia="en-NZ"/>
              </w:rPr>
              <w:t>Ow</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12/10/2015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21/10/2015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15/NTB/210</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Use of </w:t>
            </w:r>
            <w:proofErr w:type="spellStart"/>
            <w:r w:rsidRPr="00187250">
              <w:rPr>
                <w:rFonts w:cs="Arial"/>
                <w:color w:val="000000"/>
                <w:sz w:val="20"/>
                <w:szCs w:val="20"/>
                <w:lang w:val="en-NZ" w:eastAsia="en-NZ"/>
              </w:rPr>
              <w:t>pupillometry</w:t>
            </w:r>
            <w:proofErr w:type="spellEnd"/>
            <w:r w:rsidRPr="00187250">
              <w:rPr>
                <w:rFonts w:cs="Arial"/>
                <w:color w:val="000000"/>
                <w:sz w:val="20"/>
                <w:szCs w:val="20"/>
                <w:lang w:val="en-NZ" w:eastAsia="en-NZ"/>
              </w:rPr>
              <w:t xml:space="preserve"> to predict postoperative pain</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Amy Gaskell</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20/10/2015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27/10/2015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27/10/2015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2/11/2015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15/NTB/214</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Patient opinions about gout flares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Associate William Taylor</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22/10/2015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2/11/2015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27/11/2015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2/12/2015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15/NTB/213</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PEACHES</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MARTIN THAN</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26/10/2015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27/10/2015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15/NTB/215</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Decline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Evaluation of a novel </w:t>
            </w:r>
            <w:proofErr w:type="spellStart"/>
            <w:r w:rsidRPr="00187250">
              <w:rPr>
                <w:rFonts w:cs="Arial"/>
                <w:color w:val="000000"/>
                <w:sz w:val="20"/>
                <w:szCs w:val="20"/>
                <w:lang w:val="en-NZ" w:eastAsia="en-NZ"/>
              </w:rPr>
              <w:t>maneuver</w:t>
            </w:r>
            <w:proofErr w:type="spellEnd"/>
            <w:r w:rsidRPr="00187250">
              <w:rPr>
                <w:rFonts w:cs="Arial"/>
                <w:color w:val="000000"/>
                <w:sz w:val="20"/>
                <w:szCs w:val="20"/>
                <w:lang w:val="en-NZ" w:eastAsia="en-NZ"/>
              </w:rPr>
              <w:t xml:space="preserve"> for anterior shoulder dislocations</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Dr.</w:t>
            </w:r>
            <w:proofErr w:type="spellEnd"/>
            <w:r w:rsidRPr="00187250">
              <w:rPr>
                <w:rFonts w:cs="Arial"/>
                <w:color w:val="000000"/>
                <w:sz w:val="20"/>
                <w:szCs w:val="20"/>
                <w:lang w:val="en-NZ" w:eastAsia="en-NZ"/>
              </w:rPr>
              <w:t xml:space="preserve"> Mark </w:t>
            </w:r>
            <w:proofErr w:type="spellStart"/>
            <w:r w:rsidRPr="00187250">
              <w:rPr>
                <w:rFonts w:cs="Arial"/>
                <w:color w:val="000000"/>
                <w:sz w:val="20"/>
                <w:szCs w:val="20"/>
                <w:lang w:val="en-NZ" w:eastAsia="en-NZ"/>
              </w:rPr>
              <w:t>Sagarin</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11/11/2015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13/11/2015</w:t>
            </w:r>
          </w:p>
        </w:tc>
      </w:tr>
      <w:tr w:rsidR="00A841C4" w:rsidRPr="00187250" w:rsidTr="00A841C4">
        <w:trPr>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15/NTB/216</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The Auckland Alcohol Detoxification Outcome Study</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Vicki Macfarlane</w:t>
            </w:r>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18/11/2015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3/12/2015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8/12/2015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10/12/2015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15/NTB/218</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87250">
              <w:rPr>
                <w:rFonts w:cs="Arial"/>
                <w:color w:val="000000"/>
                <w:sz w:val="20"/>
                <w:szCs w:val="20"/>
                <w:lang w:val="en-NZ" w:eastAsia="en-NZ"/>
              </w:rPr>
              <w:t>Pectus</w:t>
            </w:r>
            <w:proofErr w:type="spellEnd"/>
            <w:r w:rsidRPr="00187250">
              <w:rPr>
                <w:rFonts w:cs="Arial"/>
                <w:color w:val="000000"/>
                <w:sz w:val="20"/>
                <w:szCs w:val="20"/>
                <w:lang w:val="en-NZ" w:eastAsia="en-NZ"/>
              </w:rPr>
              <w:t xml:space="preserve"> Study</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Kamal </w:t>
            </w:r>
            <w:proofErr w:type="spellStart"/>
            <w:r w:rsidRPr="00187250">
              <w:rPr>
                <w:rFonts w:cs="Arial"/>
                <w:color w:val="000000"/>
                <w:sz w:val="20"/>
                <w:szCs w:val="20"/>
                <w:lang w:val="en-NZ" w:eastAsia="en-NZ"/>
              </w:rPr>
              <w:t>Hapuarachchi</w:t>
            </w:r>
            <w:proofErr w:type="spellEnd"/>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26/11/2015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9/12/2015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14/12/2015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15/12/2015</w:t>
            </w:r>
          </w:p>
        </w:tc>
      </w:tr>
      <w:tr w:rsidR="00A841C4" w:rsidRPr="00187250" w:rsidTr="00A841C4">
        <w:trPr>
          <w:trHeight w:val="30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lastRenderedPageBreak/>
              <w:t>15/NTB/220</w:t>
            </w:r>
          </w:p>
        </w:tc>
        <w:tc>
          <w:tcPr>
            <w:tcW w:w="1339"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CMDHB SUDI Survey</w:t>
            </w:r>
          </w:p>
        </w:tc>
        <w:tc>
          <w:tcPr>
            <w:tcW w:w="242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 xml:space="preserve">Dr Adrian </w:t>
            </w:r>
            <w:proofErr w:type="spellStart"/>
            <w:r w:rsidRPr="00187250">
              <w:rPr>
                <w:rFonts w:cs="Arial"/>
                <w:color w:val="000000"/>
                <w:sz w:val="20"/>
                <w:szCs w:val="20"/>
                <w:lang w:val="en-NZ" w:eastAsia="en-NZ"/>
              </w:rPr>
              <w:t>Trenholme</w:t>
            </w:r>
            <w:proofErr w:type="spellEnd"/>
          </w:p>
        </w:tc>
        <w:tc>
          <w:tcPr>
            <w:tcW w:w="1574"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Observational</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1/12/2015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10/12/2015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21/12/2015</w:t>
            </w:r>
          </w:p>
        </w:tc>
        <w:tc>
          <w:tcPr>
            <w:tcW w:w="1318" w:type="dxa"/>
            <w:vAlign w:val="center"/>
            <w:hideMark/>
          </w:tcPr>
          <w:p w:rsidR="00A841C4" w:rsidRPr="00187250" w:rsidRDefault="00A841C4" w:rsidP="00A841C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23/12/2015</w:t>
            </w:r>
          </w:p>
        </w:tc>
      </w:tr>
      <w:tr w:rsidR="00A841C4" w:rsidRPr="00187250" w:rsidTr="00A841C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95" w:type="dxa"/>
            <w:vAlign w:val="center"/>
            <w:hideMark/>
          </w:tcPr>
          <w:p w:rsidR="00A841C4" w:rsidRPr="00187250" w:rsidRDefault="00A841C4" w:rsidP="00A841C4">
            <w:pPr>
              <w:jc w:val="center"/>
              <w:rPr>
                <w:rFonts w:cs="Arial"/>
                <w:color w:val="000000"/>
                <w:sz w:val="20"/>
                <w:szCs w:val="20"/>
                <w:lang w:val="en-NZ" w:eastAsia="en-NZ"/>
              </w:rPr>
            </w:pPr>
            <w:r w:rsidRPr="00187250">
              <w:rPr>
                <w:rFonts w:cs="Arial"/>
                <w:color w:val="000000"/>
                <w:sz w:val="20"/>
                <w:szCs w:val="20"/>
                <w:lang w:val="en-NZ" w:eastAsia="en-NZ"/>
              </w:rPr>
              <w:t>15/NTB/219</w:t>
            </w:r>
          </w:p>
        </w:tc>
        <w:tc>
          <w:tcPr>
            <w:tcW w:w="1339"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Approve</w:t>
            </w:r>
          </w:p>
        </w:tc>
        <w:tc>
          <w:tcPr>
            <w:tcW w:w="332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Safe Sleep Calculator for Use in Midwifery</w:t>
            </w:r>
          </w:p>
        </w:tc>
        <w:tc>
          <w:tcPr>
            <w:tcW w:w="242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Dr Christine McIntosh</w:t>
            </w:r>
          </w:p>
        </w:tc>
        <w:tc>
          <w:tcPr>
            <w:tcW w:w="1574"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Intervention</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2/12/2015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10/12/2015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15/12/2015</w:t>
            </w:r>
          </w:p>
        </w:tc>
        <w:tc>
          <w:tcPr>
            <w:tcW w:w="1318" w:type="dxa"/>
            <w:vAlign w:val="center"/>
            <w:hideMark/>
          </w:tcPr>
          <w:p w:rsidR="00A841C4" w:rsidRPr="00187250" w:rsidRDefault="00A841C4" w:rsidP="00A841C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87250">
              <w:rPr>
                <w:rFonts w:cs="Arial"/>
                <w:color w:val="000000"/>
                <w:sz w:val="20"/>
                <w:szCs w:val="20"/>
                <w:lang w:val="en-NZ" w:eastAsia="en-NZ"/>
              </w:rPr>
              <w:t>18/12/2015</w:t>
            </w:r>
          </w:p>
        </w:tc>
      </w:tr>
    </w:tbl>
    <w:p w:rsidR="0040216C" w:rsidRPr="007D230E" w:rsidRDefault="0040216C" w:rsidP="00445A67">
      <w:pPr>
        <w:jc w:val="both"/>
        <w:rPr>
          <w:rFonts w:cs="Arial"/>
        </w:rPr>
      </w:pPr>
    </w:p>
    <w:p w:rsidR="0040216C" w:rsidRPr="007D230E" w:rsidRDefault="0040216C" w:rsidP="00445A67">
      <w:pPr>
        <w:spacing w:after="200"/>
        <w:rPr>
          <w:rFonts w:cs="Arial"/>
        </w:rPr>
      </w:pPr>
      <w:r w:rsidRPr="007D230E">
        <w:rPr>
          <w:rFonts w:cs="Arial"/>
        </w:rPr>
        <w:br w:type="page"/>
      </w:r>
    </w:p>
    <w:p w:rsidR="0040216C" w:rsidRPr="007D230E" w:rsidRDefault="0040216C" w:rsidP="00445A67">
      <w:pPr>
        <w:pStyle w:val="Heading2"/>
        <w:rPr>
          <w:i w:val="0"/>
        </w:rPr>
      </w:pPr>
      <w:bookmarkStart w:id="40" w:name="_Toc526403853"/>
      <w:r w:rsidRPr="007D230E">
        <w:rPr>
          <w:i w:val="0"/>
        </w:rPr>
        <w:lastRenderedPageBreak/>
        <w:t>Overdue full applications</w:t>
      </w:r>
      <w:bookmarkEnd w:id="40"/>
      <w:r w:rsidRPr="007D230E">
        <w:rPr>
          <w:i w:val="0"/>
        </w:rPr>
        <w:t xml:space="preserve"> </w:t>
      </w:r>
    </w:p>
    <w:tbl>
      <w:tblPr>
        <w:tblStyle w:val="GridTable6Colorful"/>
        <w:tblW w:w="15280" w:type="dxa"/>
        <w:tblInd w:w="-572" w:type="dxa"/>
        <w:tblLook w:val="04A0" w:firstRow="1" w:lastRow="0" w:firstColumn="1" w:lastColumn="0" w:noHBand="0" w:noVBand="1"/>
      </w:tblPr>
      <w:tblGrid>
        <w:gridCol w:w="3820"/>
        <w:gridCol w:w="3820"/>
        <w:gridCol w:w="3820"/>
        <w:gridCol w:w="3820"/>
      </w:tblGrid>
      <w:tr w:rsidR="00B26517" w:rsidRPr="00187250" w:rsidTr="00B2651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noWrap/>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Reference</w:t>
            </w:r>
          </w:p>
        </w:tc>
        <w:tc>
          <w:tcPr>
            <w:tcW w:w="3820" w:type="dxa"/>
            <w:noWrap/>
            <w:vAlign w:val="center"/>
            <w:hideMark/>
          </w:tcPr>
          <w:p w:rsidR="00B26517" w:rsidRPr="00187250" w:rsidRDefault="009872A1" w:rsidP="00B26517">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NZ" w:eastAsia="en-NZ"/>
              </w:rPr>
            </w:pPr>
            <w:r>
              <w:rPr>
                <w:rFonts w:cs="Arial"/>
                <w:color w:val="auto"/>
                <w:sz w:val="20"/>
                <w:szCs w:val="20"/>
                <w:lang w:val="en-NZ" w:eastAsia="en-NZ"/>
              </w:rPr>
              <w:t>Short t</w:t>
            </w:r>
            <w:r w:rsidR="00B26517" w:rsidRPr="00187250">
              <w:rPr>
                <w:rFonts w:cs="Arial"/>
                <w:color w:val="auto"/>
                <w:sz w:val="20"/>
                <w:szCs w:val="20"/>
                <w:lang w:val="en-NZ" w:eastAsia="en-NZ"/>
              </w:rPr>
              <w:t>itle</w:t>
            </w:r>
          </w:p>
        </w:tc>
        <w:tc>
          <w:tcPr>
            <w:tcW w:w="3820" w:type="dxa"/>
            <w:noWrap/>
            <w:vAlign w:val="center"/>
            <w:hideMark/>
          </w:tcPr>
          <w:p w:rsidR="00B26517" w:rsidRPr="00187250" w:rsidRDefault="00B26517" w:rsidP="00B26517">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Days overdue</w:t>
            </w:r>
          </w:p>
        </w:tc>
        <w:tc>
          <w:tcPr>
            <w:tcW w:w="3820" w:type="dxa"/>
            <w:noWrap/>
            <w:vAlign w:val="center"/>
            <w:hideMark/>
          </w:tcPr>
          <w:p w:rsidR="00B26517" w:rsidRPr="00187250" w:rsidRDefault="00B26517" w:rsidP="00B26517">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Reason</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15/NTB/136</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Study of NP202 Treatment after a Heart Attack</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1</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B26517">
        <w:trPr>
          <w:trHeight w:val="57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15/NTB/137</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proofErr w:type="spellStart"/>
            <w:r w:rsidRPr="00187250">
              <w:rPr>
                <w:rFonts w:cs="Arial"/>
                <w:color w:val="auto"/>
                <w:sz w:val="20"/>
                <w:szCs w:val="20"/>
                <w:lang w:val="en-NZ" w:eastAsia="en-NZ"/>
              </w:rPr>
              <w:t>IntraPeritoneal</w:t>
            </w:r>
            <w:proofErr w:type="spellEnd"/>
            <w:r w:rsidRPr="00187250">
              <w:rPr>
                <w:rFonts w:cs="Arial"/>
                <w:color w:val="auto"/>
                <w:sz w:val="20"/>
                <w:szCs w:val="20"/>
                <w:lang w:val="en-NZ" w:eastAsia="en-NZ"/>
              </w:rPr>
              <w:t xml:space="preserve"> therapy for Ovarian Cancer with Carboplatin (</w:t>
            </w:r>
            <w:proofErr w:type="spellStart"/>
            <w:r w:rsidRPr="00187250">
              <w:rPr>
                <w:rFonts w:cs="Arial"/>
                <w:color w:val="auto"/>
                <w:sz w:val="20"/>
                <w:szCs w:val="20"/>
                <w:lang w:val="en-NZ" w:eastAsia="en-NZ"/>
              </w:rPr>
              <w:t>iPocc</w:t>
            </w:r>
            <w:proofErr w:type="spellEnd"/>
            <w:r w:rsidRPr="00187250">
              <w:rPr>
                <w:rFonts w:cs="Arial"/>
                <w:color w:val="auto"/>
                <w:sz w:val="20"/>
                <w:szCs w:val="20"/>
                <w:lang w:val="en-NZ" w:eastAsia="en-NZ"/>
              </w:rPr>
              <w:t>)</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1</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9872A1">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15/NTB/151</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Exploring the role of an individualised healthcare transition document for young people with disabilities transitioning from Paed</w:t>
            </w:r>
            <w:r w:rsidR="009872A1">
              <w:rPr>
                <w:rFonts w:cs="Arial"/>
                <w:color w:val="auto"/>
                <w:sz w:val="20"/>
                <w:szCs w:val="20"/>
                <w:lang w:val="en-NZ" w:eastAsia="en-NZ"/>
              </w:rPr>
              <w:t>iatric services to Primary Care</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1</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B26517">
        <w:trPr>
          <w:trHeight w:val="114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15/NTB/178</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proofErr w:type="spellStart"/>
            <w:r w:rsidRPr="00187250">
              <w:rPr>
                <w:rFonts w:cs="Arial"/>
                <w:color w:val="auto"/>
                <w:sz w:val="20"/>
                <w:szCs w:val="20"/>
                <w:lang w:val="en-NZ" w:eastAsia="en-NZ"/>
              </w:rPr>
              <w:t>PeRsonalised</w:t>
            </w:r>
            <w:proofErr w:type="spellEnd"/>
            <w:r w:rsidRPr="00187250">
              <w:rPr>
                <w:rFonts w:cs="Arial"/>
                <w:color w:val="auto"/>
                <w:sz w:val="20"/>
                <w:szCs w:val="20"/>
                <w:lang w:val="en-NZ" w:eastAsia="en-NZ"/>
              </w:rPr>
              <w:t xml:space="preserve"> Asthma Combination Therapy: with Inhaled Corticosteroid And fast-onset Long-acting beta agonist (</w:t>
            </w:r>
            <w:r w:rsidR="009872A1" w:rsidRPr="00187250">
              <w:rPr>
                <w:rFonts w:cs="Arial"/>
                <w:color w:val="auto"/>
                <w:sz w:val="20"/>
                <w:szCs w:val="20"/>
                <w:lang w:val="en-NZ" w:eastAsia="en-NZ"/>
              </w:rPr>
              <w:t>Practical</w:t>
            </w:r>
            <w:r w:rsidRPr="00187250">
              <w:rPr>
                <w:rFonts w:cs="Arial"/>
                <w:color w:val="auto"/>
                <w:sz w:val="20"/>
                <w:szCs w:val="20"/>
                <w:lang w:val="en-NZ" w:eastAsia="en-NZ"/>
              </w:rPr>
              <w:t>)</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1</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Committee member delay in Response</w:t>
            </w:r>
          </w:p>
        </w:tc>
      </w:tr>
      <w:tr w:rsidR="00B26517" w:rsidRPr="00187250" w:rsidTr="009872A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15/NTB/186</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BP29948: A study of RO7020322 in healthy subjects and hepatitis B patients</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2</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9872A1">
        <w:trPr>
          <w:trHeight w:val="1254"/>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15/NTB/19</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 xml:space="preserve">Pharmacokinetic and safety study of lower doses of </w:t>
            </w:r>
            <w:proofErr w:type="spellStart"/>
            <w:r w:rsidRPr="00187250">
              <w:rPr>
                <w:rFonts w:cs="Arial"/>
                <w:color w:val="auto"/>
                <w:sz w:val="20"/>
                <w:szCs w:val="20"/>
                <w:lang w:val="en-NZ" w:eastAsia="en-NZ"/>
              </w:rPr>
              <w:t>ceritinib</w:t>
            </w:r>
            <w:proofErr w:type="spellEnd"/>
            <w:r w:rsidRPr="00187250">
              <w:rPr>
                <w:rFonts w:cs="Arial"/>
                <w:color w:val="auto"/>
                <w:sz w:val="20"/>
                <w:szCs w:val="20"/>
                <w:lang w:val="en-NZ" w:eastAsia="en-NZ"/>
              </w:rPr>
              <w:t xml:space="preserve"> taken with a low-fat meal versus 750 mg of </w:t>
            </w:r>
            <w:proofErr w:type="spellStart"/>
            <w:r w:rsidRPr="00187250">
              <w:rPr>
                <w:rFonts w:cs="Arial"/>
                <w:color w:val="auto"/>
                <w:sz w:val="20"/>
                <w:szCs w:val="20"/>
                <w:lang w:val="en-NZ" w:eastAsia="en-NZ"/>
              </w:rPr>
              <w:t>ceritinib</w:t>
            </w:r>
            <w:proofErr w:type="spellEnd"/>
            <w:r w:rsidRPr="00187250">
              <w:rPr>
                <w:rFonts w:cs="Arial"/>
                <w:color w:val="auto"/>
                <w:sz w:val="20"/>
                <w:szCs w:val="20"/>
                <w:lang w:val="en-NZ" w:eastAsia="en-NZ"/>
              </w:rPr>
              <w:t xml:space="preserve"> in the fasted state in adult patients with (ALK-positive) metastatic non-small cell </w:t>
            </w:r>
            <w:proofErr w:type="spellStart"/>
            <w:r w:rsidRPr="00187250">
              <w:rPr>
                <w:rFonts w:cs="Arial"/>
                <w:color w:val="auto"/>
                <w:sz w:val="20"/>
                <w:szCs w:val="20"/>
                <w:lang w:val="en-NZ" w:eastAsia="en-NZ"/>
              </w:rPr>
              <w:t>lu</w:t>
            </w:r>
            <w:proofErr w:type="spellEnd"/>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2</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9872A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15/NTB/32</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The Juniper Study</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2</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Committee member delay in Response</w:t>
            </w:r>
          </w:p>
        </w:tc>
      </w:tr>
      <w:tr w:rsidR="00B26517" w:rsidRPr="00187250" w:rsidTr="009872A1">
        <w:trPr>
          <w:trHeight w:val="555"/>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15/NTB/118</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Effectiveness and Safety of MEDI9929 in Adult's with Atopic Dermatitis</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3</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9872A1">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15/NTB/138</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The Suction Study</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3</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Committee member delay in Response</w:t>
            </w:r>
          </w:p>
        </w:tc>
      </w:tr>
      <w:tr w:rsidR="00B26517" w:rsidRPr="00187250" w:rsidTr="00B26517">
        <w:trPr>
          <w:trHeight w:val="57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15/NTB/154</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Effects of dairy protein at rest and after exercise</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3</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15/NTB/72</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 xml:space="preserve">Initial presentation of central serous </w:t>
            </w:r>
            <w:proofErr w:type="spellStart"/>
            <w:r w:rsidRPr="00187250">
              <w:rPr>
                <w:rFonts w:cs="Arial"/>
                <w:color w:val="auto"/>
                <w:sz w:val="20"/>
                <w:szCs w:val="20"/>
                <w:lang w:val="en-NZ" w:eastAsia="en-NZ"/>
              </w:rPr>
              <w:t>chorioretinopathy</w:t>
            </w:r>
            <w:proofErr w:type="spellEnd"/>
            <w:r w:rsidRPr="00187250">
              <w:rPr>
                <w:rFonts w:cs="Arial"/>
                <w:color w:val="auto"/>
                <w:sz w:val="20"/>
                <w:szCs w:val="20"/>
                <w:lang w:val="en-NZ" w:eastAsia="en-NZ"/>
              </w:rPr>
              <w:t xml:space="preserve"> to a tertiary Ophthalmology Department in New Zealand</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5</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Secretariat Failed to Action Decision</w:t>
            </w:r>
          </w:p>
        </w:tc>
      </w:tr>
      <w:tr w:rsidR="00B26517" w:rsidRPr="00187250" w:rsidTr="00B26517">
        <w:trPr>
          <w:trHeight w:val="57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lastRenderedPageBreak/>
              <w:t>15/NTB/208</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Aldosterone levels in very preterm infants.</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6</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Committee member delay in Response</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15/NTB/130</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 xml:space="preserve">A study of dose schedules for </w:t>
            </w:r>
            <w:proofErr w:type="spellStart"/>
            <w:r w:rsidRPr="00187250">
              <w:rPr>
                <w:rFonts w:cs="Arial"/>
                <w:color w:val="auto"/>
                <w:sz w:val="20"/>
                <w:szCs w:val="20"/>
                <w:lang w:val="en-NZ" w:eastAsia="en-NZ"/>
              </w:rPr>
              <w:t>pamidronate</w:t>
            </w:r>
            <w:proofErr w:type="spellEnd"/>
            <w:r w:rsidRPr="00187250">
              <w:rPr>
                <w:rFonts w:cs="Arial"/>
                <w:color w:val="auto"/>
                <w:sz w:val="20"/>
                <w:szCs w:val="20"/>
                <w:lang w:val="en-NZ" w:eastAsia="en-NZ"/>
              </w:rPr>
              <w:t xml:space="preserve"> infusions in the management of chronic non-specific low back pain</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7</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Incomplete provisional Response</w:t>
            </w:r>
          </w:p>
        </w:tc>
      </w:tr>
      <w:tr w:rsidR="00B26517" w:rsidRPr="00187250" w:rsidTr="00B26517">
        <w:trPr>
          <w:trHeight w:val="114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15/NTB/155</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 xml:space="preserve">Early detection markers and risk factor analysis for Human papillomavirus associated </w:t>
            </w:r>
            <w:proofErr w:type="spellStart"/>
            <w:r w:rsidRPr="00187250">
              <w:rPr>
                <w:rFonts w:cs="Arial"/>
                <w:color w:val="auto"/>
                <w:sz w:val="20"/>
                <w:szCs w:val="20"/>
                <w:lang w:val="en-NZ" w:eastAsia="en-NZ"/>
              </w:rPr>
              <w:t>oropharyngeal</w:t>
            </w:r>
            <w:proofErr w:type="spellEnd"/>
            <w:r w:rsidRPr="00187250">
              <w:rPr>
                <w:rFonts w:cs="Arial"/>
                <w:color w:val="auto"/>
                <w:sz w:val="20"/>
                <w:szCs w:val="20"/>
                <w:lang w:val="en-NZ" w:eastAsia="en-NZ"/>
              </w:rPr>
              <w:t xml:space="preserve"> cancer</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7</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Committee member delay in Response</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15/NTB/38</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The Bergamot Study</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14</w:t>
            </w:r>
          </w:p>
        </w:tc>
        <w:tc>
          <w:tcPr>
            <w:tcW w:w="3820" w:type="dxa"/>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Committee member delay in Response</w:t>
            </w:r>
          </w:p>
        </w:tc>
      </w:tr>
      <w:tr w:rsidR="00B26517" w:rsidRPr="00187250" w:rsidTr="00B26517">
        <w:trPr>
          <w:trHeight w:val="855"/>
        </w:trPr>
        <w:tc>
          <w:tcPr>
            <w:cnfStyle w:val="001000000000" w:firstRow="0" w:lastRow="0" w:firstColumn="1" w:lastColumn="0" w:oddVBand="0" w:evenVBand="0" w:oddHBand="0" w:evenHBand="0" w:firstRowFirstColumn="0" w:firstRowLastColumn="0" w:lastRowFirstColumn="0" w:lastRowLastColumn="0"/>
            <w:tcW w:w="3820" w:type="dxa"/>
            <w:vAlign w:val="center"/>
            <w:hideMark/>
          </w:tcPr>
          <w:p w:rsidR="00B26517" w:rsidRPr="00187250" w:rsidRDefault="00B26517" w:rsidP="00B26517">
            <w:pPr>
              <w:jc w:val="center"/>
              <w:rPr>
                <w:rFonts w:cs="Arial"/>
                <w:color w:val="auto"/>
                <w:sz w:val="20"/>
                <w:szCs w:val="20"/>
                <w:lang w:val="en-NZ" w:eastAsia="en-NZ"/>
              </w:rPr>
            </w:pPr>
            <w:r w:rsidRPr="00187250">
              <w:rPr>
                <w:rFonts w:cs="Arial"/>
                <w:color w:val="auto"/>
                <w:sz w:val="20"/>
                <w:szCs w:val="20"/>
                <w:lang w:val="en-NZ" w:eastAsia="en-NZ"/>
              </w:rPr>
              <w:t>15/NTB/40</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 xml:space="preserve">RHB-104-01: Efficacy and Safety of Anti-MAP Therapy in Adult </w:t>
            </w:r>
            <w:proofErr w:type="spellStart"/>
            <w:r w:rsidRPr="00187250">
              <w:rPr>
                <w:rFonts w:cs="Arial"/>
                <w:color w:val="auto"/>
                <w:sz w:val="20"/>
                <w:szCs w:val="20"/>
                <w:lang w:val="en-NZ" w:eastAsia="en-NZ"/>
              </w:rPr>
              <w:t>Crohn's</w:t>
            </w:r>
            <w:proofErr w:type="spellEnd"/>
            <w:r w:rsidRPr="00187250">
              <w:rPr>
                <w:rFonts w:cs="Arial"/>
                <w:color w:val="auto"/>
                <w:sz w:val="20"/>
                <w:szCs w:val="20"/>
                <w:lang w:val="en-NZ" w:eastAsia="en-NZ"/>
              </w:rPr>
              <w:t xml:space="preserve"> Disease</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14</w:t>
            </w:r>
          </w:p>
        </w:tc>
        <w:tc>
          <w:tcPr>
            <w:tcW w:w="3820" w:type="dxa"/>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NZ" w:eastAsia="en-NZ"/>
              </w:rPr>
            </w:pPr>
            <w:r w:rsidRPr="00187250">
              <w:rPr>
                <w:rFonts w:cs="Arial"/>
                <w:color w:val="auto"/>
                <w:sz w:val="20"/>
                <w:szCs w:val="20"/>
                <w:lang w:val="en-NZ" w:eastAsia="en-NZ"/>
              </w:rPr>
              <w:t>Committee member delay in Response</w:t>
            </w:r>
          </w:p>
        </w:tc>
      </w:tr>
    </w:tbl>
    <w:p w:rsidR="0040216C" w:rsidRPr="007D230E" w:rsidRDefault="0040216C" w:rsidP="00445A67">
      <w:pPr>
        <w:spacing w:after="200"/>
        <w:rPr>
          <w:rFonts w:cs="Arial"/>
          <w:b/>
          <w:bCs/>
          <w:i/>
          <w:iCs/>
          <w:sz w:val="28"/>
          <w:szCs w:val="28"/>
          <w:u w:val="single"/>
        </w:rPr>
      </w:pPr>
      <w:r w:rsidRPr="007D230E">
        <w:rPr>
          <w:rFonts w:cs="Arial"/>
          <w:u w:val="single"/>
        </w:rPr>
        <w:br w:type="page"/>
      </w:r>
    </w:p>
    <w:p w:rsidR="0040216C" w:rsidRPr="007D230E" w:rsidRDefault="0040216C" w:rsidP="00445A67">
      <w:pPr>
        <w:pStyle w:val="Heading2"/>
        <w:rPr>
          <w:i w:val="0"/>
        </w:rPr>
      </w:pPr>
      <w:bookmarkStart w:id="41" w:name="_Toc526403854"/>
      <w:r w:rsidRPr="007D230E">
        <w:rPr>
          <w:i w:val="0"/>
        </w:rPr>
        <w:lastRenderedPageBreak/>
        <w:t>Overdue expedited applications</w:t>
      </w:r>
      <w:bookmarkEnd w:id="41"/>
      <w:r w:rsidRPr="007D230E">
        <w:rPr>
          <w:i w:val="0"/>
        </w:rPr>
        <w:t xml:space="preserve"> </w:t>
      </w:r>
    </w:p>
    <w:tbl>
      <w:tblPr>
        <w:tblStyle w:val="GridTable6Colorful"/>
        <w:tblW w:w="5000" w:type="pct"/>
        <w:tblLook w:val="04A0" w:firstRow="1" w:lastRow="0" w:firstColumn="1" w:lastColumn="0" w:noHBand="0" w:noVBand="1"/>
      </w:tblPr>
      <w:tblGrid>
        <w:gridCol w:w="3486"/>
        <w:gridCol w:w="3486"/>
        <w:gridCol w:w="3486"/>
        <w:gridCol w:w="3486"/>
      </w:tblGrid>
      <w:tr w:rsidR="00B26517" w:rsidRPr="00187250" w:rsidTr="00B2651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noWrap/>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Reference</w:t>
            </w:r>
          </w:p>
        </w:tc>
        <w:tc>
          <w:tcPr>
            <w:tcW w:w="1250" w:type="pct"/>
            <w:noWrap/>
            <w:vAlign w:val="center"/>
            <w:hideMark/>
          </w:tcPr>
          <w:p w:rsidR="00B26517" w:rsidRPr="00187250" w:rsidRDefault="009872A1" w:rsidP="00B26517">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Pr>
                <w:rFonts w:cs="Arial"/>
                <w:sz w:val="20"/>
                <w:szCs w:val="20"/>
                <w:lang w:val="en-NZ" w:eastAsia="en-NZ"/>
              </w:rPr>
              <w:t>Short t</w:t>
            </w:r>
            <w:r w:rsidR="00B26517" w:rsidRPr="00187250">
              <w:rPr>
                <w:rFonts w:cs="Arial"/>
                <w:sz w:val="20"/>
                <w:szCs w:val="20"/>
                <w:lang w:val="en-NZ" w:eastAsia="en-NZ"/>
              </w:rPr>
              <w:t>itle</w:t>
            </w:r>
          </w:p>
        </w:tc>
        <w:tc>
          <w:tcPr>
            <w:tcW w:w="1250" w:type="pct"/>
            <w:noWrap/>
            <w:vAlign w:val="center"/>
            <w:hideMark/>
          </w:tcPr>
          <w:p w:rsidR="00B26517" w:rsidRPr="00187250" w:rsidRDefault="00B26517" w:rsidP="00B26517">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Days overdue</w:t>
            </w:r>
          </w:p>
        </w:tc>
        <w:tc>
          <w:tcPr>
            <w:tcW w:w="1250" w:type="pct"/>
            <w:noWrap/>
            <w:vAlign w:val="center"/>
            <w:hideMark/>
          </w:tcPr>
          <w:p w:rsidR="00B26517" w:rsidRPr="00187250" w:rsidRDefault="00B26517" w:rsidP="00B26517">
            <w:pPr>
              <w:jc w:val="center"/>
              <w:cnfStyle w:val="100000000000" w:firstRow="1"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Reason</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15/NTB/102</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 xml:space="preserve">Retrospective </w:t>
            </w:r>
            <w:proofErr w:type="spellStart"/>
            <w:r w:rsidRPr="00187250">
              <w:rPr>
                <w:rFonts w:cs="Arial"/>
                <w:sz w:val="20"/>
                <w:szCs w:val="20"/>
                <w:lang w:val="en-NZ" w:eastAsia="en-NZ"/>
              </w:rPr>
              <w:t>Cxbladder</w:t>
            </w:r>
            <w:proofErr w:type="spellEnd"/>
            <w:r w:rsidRPr="00187250">
              <w:rPr>
                <w:rFonts w:cs="Arial"/>
                <w:sz w:val="20"/>
                <w:szCs w:val="20"/>
                <w:lang w:val="en-NZ" w:eastAsia="en-NZ"/>
              </w:rPr>
              <w:t xml:space="preserve"> Triage Analysis</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Secretariat Failed to Action Decision</w:t>
            </w:r>
          </w:p>
        </w:tc>
      </w:tr>
      <w:tr w:rsidR="00B26517" w:rsidRPr="00187250" w:rsidTr="00B26517">
        <w:trPr>
          <w:trHeight w:val="30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15/NTB/214</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Patient opinions about gout flares</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Secretariat Failed to Action Decision</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15/NTB/24</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 xml:space="preserve">Māori and CADS services </w:t>
            </w:r>
            <w:r w:rsidR="00900DDE">
              <w:rPr>
                <w:rFonts w:cs="Arial"/>
                <w:sz w:val="20"/>
                <w:szCs w:val="20"/>
                <w:lang w:val="en-NZ" w:eastAsia="en-NZ"/>
              </w:rPr>
              <w:t>in Auckland, New Zealand</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Committee member delay in Response</w:t>
            </w:r>
          </w:p>
        </w:tc>
      </w:tr>
      <w:tr w:rsidR="00B26517" w:rsidRPr="00187250" w:rsidTr="00B26517">
        <w:trPr>
          <w:trHeight w:val="855"/>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15/NTB/84</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 xml:space="preserve">What value does </w:t>
            </w:r>
            <w:proofErr w:type="spellStart"/>
            <w:r w:rsidRPr="00187250">
              <w:rPr>
                <w:rFonts w:cs="Arial"/>
                <w:sz w:val="20"/>
                <w:szCs w:val="20"/>
                <w:lang w:val="en-NZ" w:eastAsia="en-NZ"/>
              </w:rPr>
              <w:t>telehealth</w:t>
            </w:r>
            <w:proofErr w:type="spellEnd"/>
            <w:r w:rsidR="00900DDE">
              <w:rPr>
                <w:rFonts w:cs="Arial"/>
                <w:sz w:val="20"/>
                <w:szCs w:val="20"/>
                <w:lang w:val="en-NZ" w:eastAsia="en-NZ"/>
              </w:rPr>
              <w:t xml:space="preserve"> </w:t>
            </w:r>
            <w:r w:rsidRPr="00187250">
              <w:rPr>
                <w:rFonts w:cs="Arial"/>
                <w:sz w:val="20"/>
                <w:szCs w:val="20"/>
                <w:lang w:val="en-NZ" w:eastAsia="en-NZ"/>
              </w:rPr>
              <w:t>care offer older people with long term health issues?</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Committee member delay in Response</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15/NTB/13</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proofErr w:type="spellStart"/>
            <w:r w:rsidRPr="00187250">
              <w:rPr>
                <w:rFonts w:cs="Arial"/>
                <w:sz w:val="20"/>
                <w:szCs w:val="20"/>
                <w:lang w:val="en-NZ" w:eastAsia="en-NZ"/>
              </w:rPr>
              <w:t>Phyllodes</w:t>
            </w:r>
            <w:proofErr w:type="spellEnd"/>
            <w:r w:rsidRPr="00187250">
              <w:rPr>
                <w:rFonts w:cs="Arial"/>
                <w:sz w:val="20"/>
                <w:szCs w:val="20"/>
                <w:lang w:val="en-NZ" w:eastAsia="en-NZ"/>
              </w:rPr>
              <w:t xml:space="preserve"> breast tumours</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2</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Secretariat Failed to Action Decision</w:t>
            </w:r>
          </w:p>
        </w:tc>
      </w:tr>
      <w:tr w:rsidR="00B26517" w:rsidRPr="00187250" w:rsidTr="00B26517">
        <w:trPr>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15/NTB/216</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The Auckland Alcohol Detoxification Outcome Study</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2</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Secretariat Failed to Action Decision</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15/NTB/70</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Balloon Tip Study</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2</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Secretariat Failed to Action Decision</w:t>
            </w:r>
          </w:p>
        </w:tc>
      </w:tr>
      <w:tr w:rsidR="00B26517" w:rsidRPr="00187250" w:rsidTr="00B26517">
        <w:trPr>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15/NTB/27</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 xml:space="preserve">Analysis of health benefits of Olive Leaf extract using </w:t>
            </w:r>
            <w:proofErr w:type="spellStart"/>
            <w:r w:rsidRPr="00187250">
              <w:rPr>
                <w:rFonts w:cs="Arial"/>
                <w:sz w:val="20"/>
                <w:szCs w:val="20"/>
                <w:lang w:val="en-NZ" w:eastAsia="en-NZ"/>
              </w:rPr>
              <w:t>transcriptomics</w:t>
            </w:r>
            <w:proofErr w:type="spellEnd"/>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4</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Committee member delay in Response</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15/NTB/65</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SCFE: PSA as a Predictor of Functional outcomes</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5</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Secretariat Failed to Action Decision</w:t>
            </w:r>
          </w:p>
        </w:tc>
      </w:tr>
      <w:tr w:rsidR="00B26517" w:rsidRPr="00187250" w:rsidTr="00B26517">
        <w:trPr>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15/NTB/122</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Referrals to Special Needs Dentistry</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8</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Committee member delay in Response</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15/NTB/74</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DISCO study</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10</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Committee member delay in Response</w:t>
            </w:r>
          </w:p>
        </w:tc>
      </w:tr>
      <w:tr w:rsidR="00B26517" w:rsidRPr="00187250" w:rsidTr="00B26517">
        <w:trPr>
          <w:trHeight w:val="855"/>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15/NTB/69</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Blood pressure, pulse and oxygen saturation values in neonates and preschool children</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11</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Secretariat Failed to Action Decision</w:t>
            </w:r>
          </w:p>
        </w:tc>
      </w:tr>
      <w:tr w:rsidR="00B26517" w:rsidRPr="00187250" w:rsidTr="00B2651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15/NTB/51</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Group-based Low Intensity CBT Self-help for Older Adults</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16</w:t>
            </w:r>
          </w:p>
        </w:tc>
        <w:tc>
          <w:tcPr>
            <w:tcW w:w="1250" w:type="pct"/>
            <w:vAlign w:val="center"/>
            <w:hideMark/>
          </w:tcPr>
          <w:p w:rsidR="00B26517" w:rsidRPr="00187250" w:rsidRDefault="00B26517" w:rsidP="00B26517">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Committee member delay in Response</w:t>
            </w:r>
          </w:p>
        </w:tc>
      </w:tr>
      <w:tr w:rsidR="00B26517" w:rsidRPr="00187250" w:rsidTr="00B26517">
        <w:trPr>
          <w:trHeight w:val="855"/>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B26517" w:rsidRPr="00187250" w:rsidRDefault="00B26517" w:rsidP="00B26517">
            <w:pPr>
              <w:jc w:val="center"/>
              <w:rPr>
                <w:rFonts w:cs="Arial"/>
                <w:sz w:val="20"/>
                <w:szCs w:val="20"/>
                <w:lang w:val="en-NZ" w:eastAsia="en-NZ"/>
              </w:rPr>
            </w:pPr>
            <w:r w:rsidRPr="00187250">
              <w:rPr>
                <w:rFonts w:cs="Arial"/>
                <w:sz w:val="20"/>
                <w:szCs w:val="20"/>
                <w:lang w:val="en-NZ" w:eastAsia="en-NZ"/>
              </w:rPr>
              <w:t>15/NTB/179</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Aesthetic outcome and patient satisfaction after breast conserving surgery</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18</w:t>
            </w:r>
          </w:p>
        </w:tc>
        <w:tc>
          <w:tcPr>
            <w:tcW w:w="1250" w:type="pct"/>
            <w:vAlign w:val="center"/>
            <w:hideMark/>
          </w:tcPr>
          <w:p w:rsidR="00B26517" w:rsidRPr="00187250" w:rsidRDefault="00B26517" w:rsidP="00B26517">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NZ" w:eastAsia="en-NZ"/>
              </w:rPr>
            </w:pPr>
            <w:r w:rsidRPr="00187250">
              <w:rPr>
                <w:rFonts w:cs="Arial"/>
                <w:sz w:val="20"/>
                <w:szCs w:val="20"/>
                <w:lang w:val="en-NZ" w:eastAsia="en-NZ"/>
              </w:rPr>
              <w:t>Incomplete provisional Response</w:t>
            </w:r>
          </w:p>
        </w:tc>
      </w:tr>
    </w:tbl>
    <w:p w:rsidR="009866FE" w:rsidRPr="007D230E" w:rsidRDefault="009866FE" w:rsidP="00445A67">
      <w:pPr>
        <w:rPr>
          <w:rFonts w:cs="Arial"/>
        </w:rPr>
      </w:pPr>
    </w:p>
    <w:sectPr w:rsidR="009866FE" w:rsidRPr="007D230E" w:rsidSect="00C36C4E">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82" w:rsidRDefault="00FC6A82">
      <w:r>
        <w:separator/>
      </w:r>
    </w:p>
  </w:endnote>
  <w:endnote w:type="continuationSeparator" w:id="0">
    <w:p w:rsidR="00FC6A82" w:rsidRDefault="00FC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82" w:rsidRDefault="00FC6A82" w:rsidP="0055381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82" w:rsidRDefault="00FC6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417571"/>
      <w:docPartObj>
        <w:docPartGallery w:val="Page Numbers (Bottom of Page)"/>
        <w:docPartUnique/>
      </w:docPartObj>
    </w:sdtPr>
    <w:sdtEndPr>
      <w:rPr>
        <w:noProof/>
      </w:rPr>
    </w:sdtEndPr>
    <w:sdtContent>
      <w:p w:rsidR="00FC6A82" w:rsidRDefault="00FC6A82" w:rsidP="00553811">
        <w:pPr>
          <w:pStyle w:val="Footer"/>
        </w:pPr>
        <w:r>
          <w:fldChar w:fldCharType="begin"/>
        </w:r>
        <w:r>
          <w:instrText xml:space="preserve"> PAGE   \* MERGEFORMAT </w:instrText>
        </w:r>
        <w:r>
          <w:fldChar w:fldCharType="separate"/>
        </w:r>
        <w:r w:rsidR="005869FD">
          <w:rPr>
            <w:noProof/>
          </w:rPr>
          <w:t>24</w:t>
        </w:r>
        <w:r>
          <w:rPr>
            <w:noProof/>
          </w:rPr>
          <w:fldChar w:fldCharType="end"/>
        </w:r>
        <w:r>
          <w:rPr>
            <w:noProof/>
          </w:rPr>
          <w:tab/>
        </w:r>
        <w:r>
          <w:t>Northern B</w:t>
        </w:r>
        <w:r w:rsidRPr="00BE6A9A">
          <w:t xml:space="preserve"> Health and Disability</w:t>
        </w:r>
        <w:r>
          <w:t xml:space="preserve"> Ethics Committee: </w:t>
        </w:r>
        <w:r w:rsidRPr="00BE6A9A">
          <w:t>Annual Report</w:t>
        </w:r>
        <w:r>
          <w:t xml:space="preserve"> </w:t>
        </w:r>
        <w:r w:rsidRPr="00BE6A9A">
          <w:t>201</w:t>
        </w:r>
        <w:r>
          <w:t>5</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82" w:rsidRDefault="00FC6A82" w:rsidP="00C36C4E">
    <w:pPr>
      <w:pStyle w:val="Footer"/>
      <w:framePr w:wrap="around" w:vAnchor="text" w:hAnchor="margin" w:xAlign="right" w:y="1"/>
      <w:rPr>
        <w:rStyle w:val="PageNumber"/>
      </w:rPr>
    </w:pPr>
    <w:r w:rsidRPr="00617B2A">
      <w:rPr>
        <w:rStyle w:val="PageNumber"/>
        <w:sz w:val="20"/>
      </w:rPr>
      <w:fldChar w:fldCharType="begin"/>
    </w:r>
    <w:r w:rsidRPr="00617B2A">
      <w:rPr>
        <w:rStyle w:val="PageNumber"/>
        <w:sz w:val="20"/>
      </w:rPr>
      <w:instrText xml:space="preserve">PAGE  </w:instrText>
    </w:r>
    <w:r w:rsidRPr="00617B2A">
      <w:rPr>
        <w:rStyle w:val="PageNumber"/>
        <w:sz w:val="20"/>
      </w:rPr>
      <w:fldChar w:fldCharType="separate"/>
    </w:r>
    <w:r w:rsidR="005869FD">
      <w:rPr>
        <w:rStyle w:val="PageNumber"/>
        <w:noProof/>
        <w:sz w:val="20"/>
      </w:rPr>
      <w:t>25</w:t>
    </w:r>
    <w:r w:rsidRPr="00617B2A">
      <w:rPr>
        <w:rStyle w:val="PageNumber"/>
        <w:sz w:val="20"/>
      </w:rPr>
      <w:fldChar w:fldCharType="end"/>
    </w:r>
  </w:p>
  <w:p w:rsidR="00FC6A82" w:rsidRPr="003F3397" w:rsidRDefault="00FC6A82" w:rsidP="00553811">
    <w:pPr>
      <w:pStyle w:val="Footer"/>
      <w:ind w:right="360"/>
      <w:jc w:val="right"/>
      <w:rPr>
        <w:sz w:val="16"/>
      </w:rPr>
    </w:pPr>
    <w:r>
      <w:t>Northern B</w:t>
    </w:r>
    <w:r w:rsidRPr="00BE6A9A">
      <w:t xml:space="preserve"> Health and Disability</w:t>
    </w:r>
    <w:r>
      <w:t xml:space="preserve"> Ethics Committee: </w:t>
    </w:r>
    <w:r w:rsidRPr="00BE6A9A">
      <w:t>Annual Report</w:t>
    </w:r>
    <w:r>
      <w:t xml:space="preserve"> </w:t>
    </w:r>
    <w:r w:rsidRPr="00BE6A9A">
      <w:t>201</w:t>
    </w:r>
    <w:r>
      <w:t>5</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82" w:rsidRDefault="00FC6A82" w:rsidP="00553811">
    <w:pPr>
      <w:pStyle w:val="Footer"/>
      <w:jc w:val="right"/>
    </w:pPr>
    <w:r>
      <w:tab/>
      <w:t>Northern B</w:t>
    </w:r>
    <w:r w:rsidRPr="00BE6A9A">
      <w:t xml:space="preserve"> Health and Disability</w:t>
    </w:r>
    <w:r>
      <w:t xml:space="preserve"> Ethics Committee: </w:t>
    </w:r>
    <w:r w:rsidRPr="00BE6A9A">
      <w:t>Annual Report</w:t>
    </w:r>
    <w:r>
      <w:t xml:space="preserve"> </w:t>
    </w:r>
    <w:r w:rsidRPr="00BE6A9A">
      <w:t>201</w:t>
    </w:r>
    <w:r>
      <w:t>5</w:t>
    </w:r>
    <w:r>
      <w:tab/>
    </w:r>
    <w:sdt>
      <w:sdtPr>
        <w:id w:val="-460618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69F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82" w:rsidRDefault="00FC6A82">
      <w:r>
        <w:separator/>
      </w:r>
    </w:p>
  </w:footnote>
  <w:footnote w:type="continuationSeparator" w:id="0">
    <w:p w:rsidR="00FC6A82" w:rsidRDefault="00FC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FC6A82" w:rsidTr="00553811">
      <w:trPr>
        <w:cantSplit/>
      </w:trPr>
      <w:tc>
        <w:tcPr>
          <w:tcW w:w="5210" w:type="dxa"/>
        </w:tcPr>
        <w:p w:rsidR="00FC6A82" w:rsidRDefault="00FC6A82" w:rsidP="00553811">
          <w:pPr>
            <w:pStyle w:val="Header"/>
          </w:pPr>
        </w:p>
      </w:tc>
      <w:tc>
        <w:tcPr>
          <w:tcW w:w="4429" w:type="dxa"/>
          <w:vAlign w:val="center"/>
        </w:tcPr>
        <w:p w:rsidR="00FC6A82" w:rsidRDefault="00FC6A82" w:rsidP="00553811">
          <w:pPr>
            <w:pStyle w:val="Header"/>
            <w:jc w:val="right"/>
          </w:pPr>
        </w:p>
      </w:tc>
    </w:tr>
  </w:tbl>
  <w:p w:rsidR="00FC6A82" w:rsidRDefault="00FC6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E74BC8"/>
    <w:multiLevelType w:val="hybridMultilevel"/>
    <w:tmpl w:val="F072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7">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9160C46"/>
    <w:multiLevelType w:val="hybridMultilevel"/>
    <w:tmpl w:val="30883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CB0C0D"/>
    <w:multiLevelType w:val="hybridMultilevel"/>
    <w:tmpl w:val="EC285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0A105E"/>
    <w:multiLevelType w:val="hybridMultilevel"/>
    <w:tmpl w:val="2BD263B2"/>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nsid w:val="694A0A0B"/>
    <w:multiLevelType w:val="hybridMultilevel"/>
    <w:tmpl w:val="2690C97E"/>
    <w:lvl w:ilvl="0" w:tplc="AFB2DAF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3710D9E"/>
    <w:multiLevelType w:val="hybridMultilevel"/>
    <w:tmpl w:val="FE84A86C"/>
    <w:lvl w:ilvl="0" w:tplc="EA08BD34">
      <w:start w:val="1"/>
      <w:numFmt w:val="decimal"/>
      <w:lvlText w:val="%1."/>
      <w:lvlJc w:val="left"/>
      <w:pPr>
        <w:tabs>
          <w:tab w:val="num" w:pos="360"/>
        </w:tabs>
        <w:ind w:left="360" w:hanging="360"/>
      </w:pPr>
      <w:rPr>
        <w:rFonts w:ascii="Arial" w:hAnsi="Arial" w:cs="Arial" w:hint="default"/>
        <w:b w:val="0"/>
        <w:i w:val="0"/>
        <w:color w:val="auto"/>
        <w:sz w:val="24"/>
        <w:szCs w:val="24"/>
      </w:rPr>
    </w:lvl>
    <w:lvl w:ilvl="1" w:tplc="14090001">
      <w:start w:val="1"/>
      <w:numFmt w:val="bullet"/>
      <w:lvlText w:val=""/>
      <w:lvlJc w:val="left"/>
      <w:pPr>
        <w:tabs>
          <w:tab w:val="num" w:pos="786"/>
        </w:tabs>
        <w:ind w:left="786" w:hanging="360"/>
      </w:pPr>
      <w:rPr>
        <w:rFonts w:ascii="Symbol" w:hAnsi="Symbol" w:hint="default"/>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ABC5396"/>
    <w:multiLevelType w:val="hybridMultilevel"/>
    <w:tmpl w:val="DFB4B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6">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16"/>
  </w:num>
  <w:num w:numId="5">
    <w:abstractNumId w:val="13"/>
  </w:num>
  <w:num w:numId="6">
    <w:abstractNumId w:val="31"/>
  </w:num>
  <w:num w:numId="7">
    <w:abstractNumId w:val="21"/>
  </w:num>
  <w:num w:numId="8">
    <w:abstractNumId w:val="11"/>
  </w:num>
  <w:num w:numId="9">
    <w:abstractNumId w:val="20"/>
  </w:num>
  <w:num w:numId="10">
    <w:abstractNumId w:val="3"/>
  </w:num>
  <w:num w:numId="11">
    <w:abstractNumId w:val="12"/>
  </w:num>
  <w:num w:numId="12">
    <w:abstractNumId w:val="15"/>
  </w:num>
  <w:num w:numId="13">
    <w:abstractNumId w:val="32"/>
  </w:num>
  <w:num w:numId="14">
    <w:abstractNumId w:val="36"/>
  </w:num>
  <w:num w:numId="15">
    <w:abstractNumId w:val="17"/>
  </w:num>
  <w:num w:numId="16">
    <w:abstractNumId w:val="30"/>
  </w:num>
  <w:num w:numId="17">
    <w:abstractNumId w:val="22"/>
  </w:num>
  <w:num w:numId="18">
    <w:abstractNumId w:val="24"/>
  </w:num>
  <w:num w:numId="19">
    <w:abstractNumId w:val="6"/>
  </w:num>
  <w:num w:numId="20">
    <w:abstractNumId w:val="2"/>
  </w:num>
  <w:num w:numId="21">
    <w:abstractNumId w:val="14"/>
  </w:num>
  <w:num w:numId="22">
    <w:abstractNumId w:val="8"/>
  </w:num>
  <w:num w:numId="23">
    <w:abstractNumId w:val="7"/>
  </w:num>
  <w:num w:numId="24">
    <w:abstractNumId w:val="19"/>
  </w:num>
  <w:num w:numId="25">
    <w:abstractNumId w:val="25"/>
  </w:num>
  <w:num w:numId="26">
    <w:abstractNumId w:val="4"/>
  </w:num>
  <w:num w:numId="27">
    <w:abstractNumId w:val="26"/>
  </w:num>
  <w:num w:numId="28">
    <w:abstractNumId w:val="33"/>
  </w:num>
  <w:num w:numId="29">
    <w:abstractNumId w:val="29"/>
  </w:num>
  <w:num w:numId="30">
    <w:abstractNumId w:val="5"/>
  </w:num>
  <w:num w:numId="31">
    <w:abstractNumId w:val="34"/>
  </w:num>
  <w:num w:numId="32">
    <w:abstractNumId w:val="10"/>
  </w:num>
  <w:num w:numId="33">
    <w:abstractNumId w:val="9"/>
  </w:num>
  <w:num w:numId="34">
    <w:abstractNumId w:val="27"/>
  </w:num>
  <w:num w:numId="35">
    <w:abstractNumId w:val="18"/>
  </w:num>
  <w:num w:numId="36">
    <w:abstractNumId w:val="28"/>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6C"/>
    <w:rsid w:val="0003365A"/>
    <w:rsid w:val="00033E69"/>
    <w:rsid w:val="00082C44"/>
    <w:rsid w:val="000E0C49"/>
    <w:rsid w:val="000F44F2"/>
    <w:rsid w:val="00132A9C"/>
    <w:rsid w:val="00187250"/>
    <w:rsid w:val="001A6C0D"/>
    <w:rsid w:val="001B4702"/>
    <w:rsid w:val="001B781D"/>
    <w:rsid w:val="001E0DCF"/>
    <w:rsid w:val="00242E53"/>
    <w:rsid w:val="0025240E"/>
    <w:rsid w:val="002756F3"/>
    <w:rsid w:val="00277113"/>
    <w:rsid w:val="002820C4"/>
    <w:rsid w:val="003343B4"/>
    <w:rsid w:val="00335680"/>
    <w:rsid w:val="00353FDC"/>
    <w:rsid w:val="00356942"/>
    <w:rsid w:val="00361389"/>
    <w:rsid w:val="003A5155"/>
    <w:rsid w:val="003B491F"/>
    <w:rsid w:val="003C7502"/>
    <w:rsid w:val="003D01A0"/>
    <w:rsid w:val="003D7782"/>
    <w:rsid w:val="0040216C"/>
    <w:rsid w:val="0042779B"/>
    <w:rsid w:val="00445A67"/>
    <w:rsid w:val="0044644A"/>
    <w:rsid w:val="00452FF2"/>
    <w:rsid w:val="00460FDC"/>
    <w:rsid w:val="0048051B"/>
    <w:rsid w:val="004A445A"/>
    <w:rsid w:val="004A5520"/>
    <w:rsid w:val="004C7A11"/>
    <w:rsid w:val="004F238B"/>
    <w:rsid w:val="00516847"/>
    <w:rsid w:val="005307D3"/>
    <w:rsid w:val="00553811"/>
    <w:rsid w:val="005548AA"/>
    <w:rsid w:val="00581AA4"/>
    <w:rsid w:val="005869FD"/>
    <w:rsid w:val="005C42E2"/>
    <w:rsid w:val="005E1BF5"/>
    <w:rsid w:val="00604EF9"/>
    <w:rsid w:val="006172B0"/>
    <w:rsid w:val="0064676A"/>
    <w:rsid w:val="00647E13"/>
    <w:rsid w:val="0065024A"/>
    <w:rsid w:val="0065541D"/>
    <w:rsid w:val="006802D3"/>
    <w:rsid w:val="00684F18"/>
    <w:rsid w:val="00693DA8"/>
    <w:rsid w:val="00696826"/>
    <w:rsid w:val="006C4BCB"/>
    <w:rsid w:val="006D2521"/>
    <w:rsid w:val="006E261A"/>
    <w:rsid w:val="00751B0F"/>
    <w:rsid w:val="007556BC"/>
    <w:rsid w:val="00757D0F"/>
    <w:rsid w:val="00765635"/>
    <w:rsid w:val="007756F4"/>
    <w:rsid w:val="0077789C"/>
    <w:rsid w:val="00786271"/>
    <w:rsid w:val="007B091A"/>
    <w:rsid w:val="007C4B76"/>
    <w:rsid w:val="007D230E"/>
    <w:rsid w:val="007E12D8"/>
    <w:rsid w:val="007E7084"/>
    <w:rsid w:val="00856437"/>
    <w:rsid w:val="008B57D2"/>
    <w:rsid w:val="008D0A5A"/>
    <w:rsid w:val="008D33B7"/>
    <w:rsid w:val="008E5030"/>
    <w:rsid w:val="00900DDE"/>
    <w:rsid w:val="009138C8"/>
    <w:rsid w:val="009556A3"/>
    <w:rsid w:val="009866FE"/>
    <w:rsid w:val="009872A1"/>
    <w:rsid w:val="009A23BF"/>
    <w:rsid w:val="009A2919"/>
    <w:rsid w:val="009B2767"/>
    <w:rsid w:val="009E0750"/>
    <w:rsid w:val="00A20EC3"/>
    <w:rsid w:val="00A5548D"/>
    <w:rsid w:val="00A700A5"/>
    <w:rsid w:val="00A71F41"/>
    <w:rsid w:val="00A841C4"/>
    <w:rsid w:val="00AA7E28"/>
    <w:rsid w:val="00AB65CE"/>
    <w:rsid w:val="00AE5049"/>
    <w:rsid w:val="00AF3065"/>
    <w:rsid w:val="00B26517"/>
    <w:rsid w:val="00B36DA7"/>
    <w:rsid w:val="00B50FD7"/>
    <w:rsid w:val="00B740C5"/>
    <w:rsid w:val="00B84D39"/>
    <w:rsid w:val="00BA0C8C"/>
    <w:rsid w:val="00BD10FF"/>
    <w:rsid w:val="00C03161"/>
    <w:rsid w:val="00C36C4E"/>
    <w:rsid w:val="00C54D5B"/>
    <w:rsid w:val="00C54E1E"/>
    <w:rsid w:val="00C77B72"/>
    <w:rsid w:val="00CB09C3"/>
    <w:rsid w:val="00CC5E8B"/>
    <w:rsid w:val="00CE076C"/>
    <w:rsid w:val="00D14402"/>
    <w:rsid w:val="00D304C3"/>
    <w:rsid w:val="00D43FCA"/>
    <w:rsid w:val="00D605BC"/>
    <w:rsid w:val="00DC6E3A"/>
    <w:rsid w:val="00DD69A8"/>
    <w:rsid w:val="00EB0690"/>
    <w:rsid w:val="00F04313"/>
    <w:rsid w:val="00F57F1D"/>
    <w:rsid w:val="00FC1F08"/>
    <w:rsid w:val="00FC6A82"/>
    <w:rsid w:val="00FE2EEB"/>
    <w:rsid w:val="00FF66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A7E727A-AF53-415A-BB1C-1A062B9F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6C"/>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40216C"/>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40216C"/>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40216C"/>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6C"/>
    <w:rPr>
      <w:rFonts w:eastAsia="Times New Roman" w:cs="Times New Roman"/>
      <w:b/>
      <w:sz w:val="36"/>
      <w:szCs w:val="24"/>
    </w:rPr>
  </w:style>
  <w:style w:type="character" w:customStyle="1" w:styleId="Heading2Char">
    <w:name w:val="Heading 2 Char"/>
    <w:basedOn w:val="DefaultParagraphFont"/>
    <w:link w:val="Heading2"/>
    <w:rsid w:val="0040216C"/>
    <w:rPr>
      <w:rFonts w:eastAsia="Times New Roman" w:cs="Arial"/>
      <w:b/>
      <w:bCs/>
      <w:i/>
      <w:iCs/>
      <w:sz w:val="28"/>
      <w:szCs w:val="28"/>
      <w:lang w:val="en-US"/>
    </w:rPr>
  </w:style>
  <w:style w:type="character" w:customStyle="1" w:styleId="Heading3Char">
    <w:name w:val="Heading 3 Char"/>
    <w:basedOn w:val="DefaultParagraphFont"/>
    <w:link w:val="Heading3"/>
    <w:rsid w:val="0040216C"/>
    <w:rPr>
      <w:rFonts w:eastAsia="Times New Roman" w:cs="Arial"/>
      <w:b/>
      <w:bCs/>
      <w:sz w:val="22"/>
      <w:szCs w:val="26"/>
      <w:lang w:val="en-US"/>
    </w:rPr>
  </w:style>
  <w:style w:type="paragraph" w:customStyle="1" w:styleId="Title1">
    <w:name w:val="Title1"/>
    <w:basedOn w:val="Normal"/>
    <w:rsid w:val="0040216C"/>
    <w:pPr>
      <w:spacing w:before="120" w:after="120" w:line="480" w:lineRule="auto"/>
      <w:jc w:val="center"/>
    </w:pPr>
    <w:rPr>
      <w:sz w:val="48"/>
    </w:rPr>
  </w:style>
  <w:style w:type="table" w:styleId="TableGrid">
    <w:name w:val="Table Grid"/>
    <w:basedOn w:val="TableNormal"/>
    <w:uiPriority w:val="39"/>
    <w:rsid w:val="0040216C"/>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40216C"/>
    <w:pPr>
      <w:spacing w:before="40" w:after="40"/>
    </w:pPr>
    <w:rPr>
      <w:sz w:val="20"/>
      <w:szCs w:val="20"/>
    </w:rPr>
  </w:style>
  <w:style w:type="paragraph" w:customStyle="1" w:styleId="Char1CharChar">
    <w:name w:val="Char1 Char Char"/>
    <w:basedOn w:val="Normal"/>
    <w:rsid w:val="0040216C"/>
    <w:pPr>
      <w:spacing w:after="160" w:line="240" w:lineRule="exact"/>
    </w:pPr>
    <w:rPr>
      <w:sz w:val="20"/>
      <w:szCs w:val="20"/>
    </w:rPr>
  </w:style>
  <w:style w:type="paragraph" w:styleId="Header">
    <w:name w:val="header"/>
    <w:basedOn w:val="Normal"/>
    <w:link w:val="HeaderChar"/>
    <w:unhideWhenUsed/>
    <w:qFormat/>
    <w:rsid w:val="0040216C"/>
    <w:pPr>
      <w:tabs>
        <w:tab w:val="center" w:pos="4320"/>
        <w:tab w:val="right" w:pos="8640"/>
      </w:tabs>
    </w:pPr>
  </w:style>
  <w:style w:type="character" w:customStyle="1" w:styleId="HeaderChar">
    <w:name w:val="Header Char"/>
    <w:basedOn w:val="DefaultParagraphFont"/>
    <w:link w:val="Header"/>
    <w:rsid w:val="0040216C"/>
    <w:rPr>
      <w:rFonts w:eastAsia="Times New Roman" w:cs="Times New Roman"/>
      <w:sz w:val="22"/>
      <w:szCs w:val="24"/>
      <w:lang w:val="en-US"/>
    </w:rPr>
  </w:style>
  <w:style w:type="paragraph" w:styleId="Footer">
    <w:name w:val="footer"/>
    <w:basedOn w:val="Normal"/>
    <w:link w:val="FooterChar"/>
    <w:uiPriority w:val="99"/>
    <w:unhideWhenUsed/>
    <w:qFormat/>
    <w:rsid w:val="0040216C"/>
    <w:pPr>
      <w:tabs>
        <w:tab w:val="center" w:pos="4320"/>
        <w:tab w:val="right" w:pos="8640"/>
      </w:tabs>
    </w:pPr>
  </w:style>
  <w:style w:type="character" w:customStyle="1" w:styleId="FooterChar">
    <w:name w:val="Footer Char"/>
    <w:basedOn w:val="DefaultParagraphFont"/>
    <w:link w:val="Footer"/>
    <w:uiPriority w:val="99"/>
    <w:rsid w:val="0040216C"/>
    <w:rPr>
      <w:rFonts w:eastAsia="Times New Roman" w:cs="Times New Roman"/>
      <w:sz w:val="22"/>
      <w:szCs w:val="24"/>
      <w:lang w:val="en-US"/>
    </w:rPr>
  </w:style>
  <w:style w:type="character" w:styleId="PageNumber">
    <w:name w:val="page number"/>
    <w:basedOn w:val="DefaultParagraphFont"/>
    <w:uiPriority w:val="99"/>
    <w:semiHidden/>
    <w:unhideWhenUsed/>
    <w:rsid w:val="0040216C"/>
  </w:style>
  <w:style w:type="paragraph" w:styleId="TOC1">
    <w:name w:val="toc 1"/>
    <w:basedOn w:val="Normal"/>
    <w:next w:val="Normal"/>
    <w:autoRedefine/>
    <w:uiPriority w:val="39"/>
    <w:rsid w:val="0040216C"/>
    <w:pPr>
      <w:tabs>
        <w:tab w:val="right" w:leader="dot" w:pos="8280"/>
      </w:tabs>
      <w:spacing w:before="120" w:after="120"/>
    </w:pPr>
    <w:rPr>
      <w:b/>
      <w:sz w:val="24"/>
    </w:rPr>
  </w:style>
  <w:style w:type="paragraph" w:styleId="TOC2">
    <w:name w:val="toc 2"/>
    <w:basedOn w:val="Normal"/>
    <w:next w:val="Normal"/>
    <w:autoRedefine/>
    <w:uiPriority w:val="39"/>
    <w:rsid w:val="0040216C"/>
    <w:pPr>
      <w:tabs>
        <w:tab w:val="right" w:leader="dot" w:pos="8280"/>
      </w:tabs>
      <w:ind w:left="220"/>
    </w:pPr>
  </w:style>
  <w:style w:type="character" w:styleId="Hyperlink">
    <w:name w:val="Hyperlink"/>
    <w:uiPriority w:val="99"/>
    <w:rsid w:val="0040216C"/>
    <w:rPr>
      <w:color w:val="0000FF"/>
      <w:u w:val="single"/>
    </w:rPr>
  </w:style>
  <w:style w:type="paragraph" w:customStyle="1" w:styleId="Bullet">
    <w:name w:val="Bullet"/>
    <w:basedOn w:val="Normal"/>
    <w:link w:val="BulletChar"/>
    <w:uiPriority w:val="99"/>
    <w:rsid w:val="0040216C"/>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40216C"/>
    <w:rPr>
      <w:rFonts w:ascii="Times New Roman Mäori" w:eastAsia="Times New Roman" w:hAnsi="Times New Roman Mäori" w:cs="Times New Roman"/>
      <w:szCs w:val="20"/>
    </w:rPr>
  </w:style>
  <w:style w:type="paragraph" w:styleId="DocumentMap">
    <w:name w:val="Document Map"/>
    <w:basedOn w:val="Normal"/>
    <w:link w:val="DocumentMapChar"/>
    <w:semiHidden/>
    <w:rsid w:val="004021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40216C"/>
    <w:rPr>
      <w:rFonts w:ascii="Tahoma" w:eastAsia="Times New Roman" w:hAnsi="Tahoma" w:cs="Tahoma"/>
      <w:sz w:val="22"/>
      <w:szCs w:val="24"/>
      <w:shd w:val="clear" w:color="auto" w:fill="000080"/>
      <w:lang w:val="en-US"/>
    </w:rPr>
  </w:style>
  <w:style w:type="paragraph" w:styleId="ListNumber">
    <w:name w:val="List Number"/>
    <w:basedOn w:val="Normal"/>
    <w:rsid w:val="0040216C"/>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40216C"/>
    <w:pPr>
      <w:jc w:val="both"/>
    </w:pPr>
    <w:rPr>
      <w:rFonts w:ascii="Times New Roman" w:hAnsi="Times New Roman"/>
      <w:sz w:val="24"/>
      <w:lang w:val="en-NZ"/>
    </w:rPr>
  </w:style>
  <w:style w:type="character" w:customStyle="1" w:styleId="BodyTextChar">
    <w:name w:val="Body Text Char"/>
    <w:basedOn w:val="DefaultParagraphFont"/>
    <w:link w:val="BodyText"/>
    <w:rsid w:val="0040216C"/>
    <w:rPr>
      <w:rFonts w:ascii="Times New Roman" w:eastAsia="Times New Roman" w:hAnsi="Times New Roman" w:cs="Times New Roman"/>
      <w:szCs w:val="24"/>
    </w:rPr>
  </w:style>
  <w:style w:type="character" w:styleId="CommentReference">
    <w:name w:val="annotation reference"/>
    <w:semiHidden/>
    <w:unhideWhenUsed/>
    <w:rsid w:val="0040216C"/>
    <w:rPr>
      <w:sz w:val="16"/>
      <w:szCs w:val="16"/>
    </w:rPr>
  </w:style>
  <w:style w:type="paragraph" w:styleId="CommentText">
    <w:name w:val="annotation text"/>
    <w:basedOn w:val="Normal"/>
    <w:link w:val="CommentTextChar"/>
    <w:semiHidden/>
    <w:unhideWhenUsed/>
    <w:rsid w:val="0040216C"/>
    <w:rPr>
      <w:sz w:val="20"/>
      <w:szCs w:val="20"/>
    </w:rPr>
  </w:style>
  <w:style w:type="character" w:customStyle="1" w:styleId="CommentTextChar">
    <w:name w:val="Comment Text Char"/>
    <w:basedOn w:val="DefaultParagraphFont"/>
    <w:link w:val="CommentText"/>
    <w:semiHidden/>
    <w:rsid w:val="0040216C"/>
    <w:rPr>
      <w:rFonts w:eastAsia="Times New Roman" w:cs="Times New Roman"/>
      <w:sz w:val="20"/>
      <w:szCs w:val="20"/>
      <w:lang w:val="en-US"/>
    </w:rPr>
  </w:style>
  <w:style w:type="paragraph" w:styleId="BalloonText">
    <w:name w:val="Balloon Text"/>
    <w:basedOn w:val="Normal"/>
    <w:link w:val="BalloonTextChar"/>
    <w:semiHidden/>
    <w:rsid w:val="0040216C"/>
    <w:rPr>
      <w:rFonts w:ascii="Tahoma" w:hAnsi="Tahoma" w:cs="Tahoma"/>
      <w:sz w:val="16"/>
      <w:szCs w:val="16"/>
    </w:rPr>
  </w:style>
  <w:style w:type="character" w:customStyle="1" w:styleId="BalloonTextChar">
    <w:name w:val="Balloon Text Char"/>
    <w:basedOn w:val="DefaultParagraphFont"/>
    <w:link w:val="BalloonText"/>
    <w:semiHidden/>
    <w:rsid w:val="0040216C"/>
    <w:rPr>
      <w:rFonts w:ascii="Tahoma" w:eastAsia="Times New Roman" w:hAnsi="Tahoma" w:cs="Tahoma"/>
      <w:sz w:val="16"/>
      <w:szCs w:val="16"/>
      <w:lang w:val="en-US"/>
    </w:rPr>
  </w:style>
  <w:style w:type="paragraph" w:styleId="FootnoteText">
    <w:name w:val="footnote text"/>
    <w:basedOn w:val="Normal"/>
    <w:link w:val="FootnoteTextChar"/>
    <w:semiHidden/>
    <w:rsid w:val="0040216C"/>
    <w:rPr>
      <w:sz w:val="20"/>
      <w:szCs w:val="20"/>
    </w:rPr>
  </w:style>
  <w:style w:type="character" w:customStyle="1" w:styleId="FootnoteTextChar">
    <w:name w:val="Footnote Text Char"/>
    <w:basedOn w:val="DefaultParagraphFont"/>
    <w:link w:val="FootnoteText"/>
    <w:semiHidden/>
    <w:rsid w:val="0040216C"/>
    <w:rPr>
      <w:rFonts w:eastAsia="Times New Roman" w:cs="Times New Roman"/>
      <w:sz w:val="20"/>
      <w:szCs w:val="20"/>
      <w:lang w:val="en-US"/>
    </w:rPr>
  </w:style>
  <w:style w:type="character" w:styleId="FootnoteReference">
    <w:name w:val="footnote reference"/>
    <w:semiHidden/>
    <w:rsid w:val="0040216C"/>
    <w:rPr>
      <w:vertAlign w:val="superscript"/>
    </w:rPr>
  </w:style>
  <w:style w:type="paragraph" w:customStyle="1" w:styleId="CM39">
    <w:name w:val="CM39"/>
    <w:basedOn w:val="Normal"/>
    <w:next w:val="Normal"/>
    <w:rsid w:val="0040216C"/>
    <w:pPr>
      <w:autoSpaceDE w:val="0"/>
      <w:autoSpaceDN w:val="0"/>
      <w:adjustRightInd w:val="0"/>
    </w:pPr>
    <w:rPr>
      <w:sz w:val="24"/>
      <w:lang w:val="en-GB" w:eastAsia="en-GB"/>
    </w:rPr>
  </w:style>
  <w:style w:type="paragraph" w:customStyle="1" w:styleId="CM40">
    <w:name w:val="CM40"/>
    <w:basedOn w:val="Normal"/>
    <w:next w:val="Normal"/>
    <w:rsid w:val="0040216C"/>
    <w:pPr>
      <w:autoSpaceDE w:val="0"/>
      <w:autoSpaceDN w:val="0"/>
      <w:adjustRightInd w:val="0"/>
    </w:pPr>
    <w:rPr>
      <w:sz w:val="24"/>
      <w:lang w:val="en-GB" w:eastAsia="en-GB"/>
    </w:rPr>
  </w:style>
  <w:style w:type="paragraph" w:styleId="ListParagraph">
    <w:name w:val="List Paragraph"/>
    <w:basedOn w:val="Normal"/>
    <w:uiPriority w:val="34"/>
    <w:qFormat/>
    <w:rsid w:val="0040216C"/>
    <w:pPr>
      <w:ind w:left="720"/>
      <w:contextualSpacing/>
    </w:pPr>
  </w:style>
  <w:style w:type="paragraph" w:customStyle="1" w:styleId="Default">
    <w:name w:val="Default"/>
    <w:rsid w:val="0040216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40216C"/>
    <w:rPr>
      <w:b/>
      <w:bCs/>
    </w:rPr>
  </w:style>
  <w:style w:type="character" w:customStyle="1" w:styleId="CommentSubjectChar">
    <w:name w:val="Comment Subject Char"/>
    <w:basedOn w:val="CommentTextChar"/>
    <w:link w:val="CommentSubject"/>
    <w:uiPriority w:val="99"/>
    <w:semiHidden/>
    <w:rsid w:val="0040216C"/>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40216C"/>
    <w:rPr>
      <w:color w:val="800080"/>
      <w:u w:val="single"/>
    </w:rPr>
  </w:style>
  <w:style w:type="paragraph" w:customStyle="1" w:styleId="xl65">
    <w:name w:val="xl65"/>
    <w:basedOn w:val="Normal"/>
    <w:rsid w:val="004021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4021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40216C"/>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40216C"/>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40216C"/>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40216C"/>
    <w:rPr>
      <w:rFonts w:eastAsia="Times New Roman" w:cs="Times New Roman"/>
      <w:color w:val="003B5A"/>
      <w:sz w:val="22"/>
      <w:szCs w:val="20"/>
      <w:lang w:val="x-none" w:eastAsia="en-GB"/>
    </w:rPr>
  </w:style>
  <w:style w:type="character" w:styleId="Emphasis">
    <w:name w:val="Emphasis"/>
    <w:basedOn w:val="DefaultParagraphFont"/>
    <w:uiPriority w:val="20"/>
    <w:qFormat/>
    <w:rsid w:val="0040216C"/>
    <w:rPr>
      <w:b/>
      <w:bCs/>
      <w:i w:val="0"/>
      <w:iCs w:val="0"/>
    </w:rPr>
  </w:style>
  <w:style w:type="character" w:customStyle="1" w:styleId="st1">
    <w:name w:val="st1"/>
    <w:basedOn w:val="DefaultParagraphFont"/>
    <w:rsid w:val="0040216C"/>
  </w:style>
  <w:style w:type="paragraph" w:customStyle="1" w:styleId="TableText">
    <w:name w:val="TableText"/>
    <w:basedOn w:val="Normal"/>
    <w:qFormat/>
    <w:rsid w:val="0040216C"/>
    <w:pPr>
      <w:spacing w:before="80" w:after="80"/>
    </w:pPr>
    <w:rPr>
      <w:sz w:val="18"/>
      <w:lang w:val="en-NZ"/>
    </w:rPr>
  </w:style>
  <w:style w:type="table" w:styleId="PlainTable1">
    <w:name w:val="Plain Table 1"/>
    <w:basedOn w:val="TableNormal"/>
    <w:uiPriority w:val="41"/>
    <w:rsid w:val="00CE076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CE076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5024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ocation">
    <w:name w:val="Location"/>
    <w:basedOn w:val="Normal"/>
    <w:qFormat/>
    <w:rsid w:val="00B84D39"/>
    <w:pPr>
      <w:spacing w:line="264" w:lineRule="auto"/>
      <w:ind w:left="288"/>
    </w:pPr>
    <w:rPr>
      <w:rFonts w:asciiTheme="minorHAnsi" w:eastAsiaTheme="minorHAnsi" w:hAnsiTheme="minorHAnsi" w:cstheme="minorBidi"/>
      <w:sz w:val="16"/>
      <w:szCs w:val="22"/>
    </w:rPr>
  </w:style>
  <w:style w:type="table" w:styleId="GridTable6Colorful-Accent1">
    <w:name w:val="Grid Table 6 Colorful Accent 1"/>
    <w:basedOn w:val="TableNormal"/>
    <w:uiPriority w:val="51"/>
    <w:rsid w:val="0018725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1872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autoRedefine/>
    <w:qFormat/>
    <w:rsid w:val="00553811"/>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553811"/>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553811"/>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553811"/>
    <w:rPr>
      <w:rFonts w:eastAsiaTheme="minorEastAsia"/>
      <w:b/>
      <w:spacing w:val="15"/>
      <w:sz w:val="56"/>
    </w:rPr>
  </w:style>
  <w:style w:type="paragraph" w:customStyle="1" w:styleId="Imprint">
    <w:name w:val="Imprint"/>
    <w:basedOn w:val="Normal"/>
    <w:next w:val="Normal"/>
    <w:qFormat/>
    <w:rsid w:val="00553811"/>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359">
      <w:bodyDiv w:val="1"/>
      <w:marLeft w:val="0"/>
      <w:marRight w:val="0"/>
      <w:marTop w:val="0"/>
      <w:marBottom w:val="0"/>
      <w:divBdr>
        <w:top w:val="none" w:sz="0" w:space="0" w:color="auto"/>
        <w:left w:val="none" w:sz="0" w:space="0" w:color="auto"/>
        <w:bottom w:val="none" w:sz="0" w:space="0" w:color="auto"/>
        <w:right w:val="none" w:sz="0" w:space="0" w:color="auto"/>
      </w:divBdr>
    </w:div>
    <w:div w:id="148719945">
      <w:bodyDiv w:val="1"/>
      <w:marLeft w:val="0"/>
      <w:marRight w:val="0"/>
      <w:marTop w:val="0"/>
      <w:marBottom w:val="0"/>
      <w:divBdr>
        <w:top w:val="none" w:sz="0" w:space="0" w:color="auto"/>
        <w:left w:val="none" w:sz="0" w:space="0" w:color="auto"/>
        <w:bottom w:val="none" w:sz="0" w:space="0" w:color="auto"/>
        <w:right w:val="none" w:sz="0" w:space="0" w:color="auto"/>
      </w:divBdr>
    </w:div>
    <w:div w:id="171842667">
      <w:bodyDiv w:val="1"/>
      <w:marLeft w:val="0"/>
      <w:marRight w:val="0"/>
      <w:marTop w:val="0"/>
      <w:marBottom w:val="0"/>
      <w:divBdr>
        <w:top w:val="none" w:sz="0" w:space="0" w:color="auto"/>
        <w:left w:val="none" w:sz="0" w:space="0" w:color="auto"/>
        <w:bottom w:val="none" w:sz="0" w:space="0" w:color="auto"/>
        <w:right w:val="none" w:sz="0" w:space="0" w:color="auto"/>
      </w:divBdr>
    </w:div>
    <w:div w:id="262305071">
      <w:bodyDiv w:val="1"/>
      <w:marLeft w:val="0"/>
      <w:marRight w:val="0"/>
      <w:marTop w:val="0"/>
      <w:marBottom w:val="0"/>
      <w:divBdr>
        <w:top w:val="none" w:sz="0" w:space="0" w:color="auto"/>
        <w:left w:val="none" w:sz="0" w:space="0" w:color="auto"/>
        <w:bottom w:val="none" w:sz="0" w:space="0" w:color="auto"/>
        <w:right w:val="none" w:sz="0" w:space="0" w:color="auto"/>
      </w:divBdr>
    </w:div>
    <w:div w:id="373969704">
      <w:bodyDiv w:val="1"/>
      <w:marLeft w:val="0"/>
      <w:marRight w:val="0"/>
      <w:marTop w:val="0"/>
      <w:marBottom w:val="0"/>
      <w:divBdr>
        <w:top w:val="none" w:sz="0" w:space="0" w:color="auto"/>
        <w:left w:val="none" w:sz="0" w:space="0" w:color="auto"/>
        <w:bottom w:val="none" w:sz="0" w:space="0" w:color="auto"/>
        <w:right w:val="none" w:sz="0" w:space="0" w:color="auto"/>
      </w:divBdr>
    </w:div>
    <w:div w:id="435909663">
      <w:bodyDiv w:val="1"/>
      <w:marLeft w:val="0"/>
      <w:marRight w:val="0"/>
      <w:marTop w:val="0"/>
      <w:marBottom w:val="0"/>
      <w:divBdr>
        <w:top w:val="none" w:sz="0" w:space="0" w:color="auto"/>
        <w:left w:val="none" w:sz="0" w:space="0" w:color="auto"/>
        <w:bottom w:val="none" w:sz="0" w:space="0" w:color="auto"/>
        <w:right w:val="none" w:sz="0" w:space="0" w:color="auto"/>
      </w:divBdr>
    </w:div>
    <w:div w:id="440995717">
      <w:bodyDiv w:val="1"/>
      <w:marLeft w:val="0"/>
      <w:marRight w:val="0"/>
      <w:marTop w:val="0"/>
      <w:marBottom w:val="0"/>
      <w:divBdr>
        <w:top w:val="none" w:sz="0" w:space="0" w:color="auto"/>
        <w:left w:val="none" w:sz="0" w:space="0" w:color="auto"/>
        <w:bottom w:val="none" w:sz="0" w:space="0" w:color="auto"/>
        <w:right w:val="none" w:sz="0" w:space="0" w:color="auto"/>
      </w:divBdr>
    </w:div>
    <w:div w:id="443962705">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1041437363">
      <w:bodyDiv w:val="1"/>
      <w:marLeft w:val="0"/>
      <w:marRight w:val="0"/>
      <w:marTop w:val="0"/>
      <w:marBottom w:val="0"/>
      <w:divBdr>
        <w:top w:val="none" w:sz="0" w:space="0" w:color="auto"/>
        <w:left w:val="none" w:sz="0" w:space="0" w:color="auto"/>
        <w:bottom w:val="none" w:sz="0" w:space="0" w:color="auto"/>
        <w:right w:val="none" w:sz="0" w:space="0" w:color="auto"/>
      </w:divBdr>
    </w:div>
    <w:div w:id="1094742636">
      <w:bodyDiv w:val="1"/>
      <w:marLeft w:val="0"/>
      <w:marRight w:val="0"/>
      <w:marTop w:val="0"/>
      <w:marBottom w:val="0"/>
      <w:divBdr>
        <w:top w:val="none" w:sz="0" w:space="0" w:color="auto"/>
        <w:left w:val="none" w:sz="0" w:space="0" w:color="auto"/>
        <w:bottom w:val="none" w:sz="0" w:space="0" w:color="auto"/>
        <w:right w:val="none" w:sz="0" w:space="0" w:color="auto"/>
      </w:divBdr>
    </w:div>
    <w:div w:id="1109155504">
      <w:bodyDiv w:val="1"/>
      <w:marLeft w:val="0"/>
      <w:marRight w:val="0"/>
      <w:marTop w:val="0"/>
      <w:marBottom w:val="0"/>
      <w:divBdr>
        <w:top w:val="none" w:sz="0" w:space="0" w:color="auto"/>
        <w:left w:val="none" w:sz="0" w:space="0" w:color="auto"/>
        <w:bottom w:val="none" w:sz="0" w:space="0" w:color="auto"/>
        <w:right w:val="none" w:sz="0" w:space="0" w:color="auto"/>
      </w:divBdr>
    </w:div>
    <w:div w:id="1295020277">
      <w:bodyDiv w:val="1"/>
      <w:marLeft w:val="0"/>
      <w:marRight w:val="0"/>
      <w:marTop w:val="0"/>
      <w:marBottom w:val="0"/>
      <w:divBdr>
        <w:top w:val="none" w:sz="0" w:space="0" w:color="auto"/>
        <w:left w:val="none" w:sz="0" w:space="0" w:color="auto"/>
        <w:bottom w:val="none" w:sz="0" w:space="0" w:color="auto"/>
        <w:right w:val="none" w:sz="0" w:space="0" w:color="auto"/>
      </w:divBdr>
    </w:div>
    <w:div w:id="1327056272">
      <w:bodyDiv w:val="1"/>
      <w:marLeft w:val="0"/>
      <w:marRight w:val="0"/>
      <w:marTop w:val="0"/>
      <w:marBottom w:val="0"/>
      <w:divBdr>
        <w:top w:val="none" w:sz="0" w:space="0" w:color="auto"/>
        <w:left w:val="none" w:sz="0" w:space="0" w:color="auto"/>
        <w:bottom w:val="none" w:sz="0" w:space="0" w:color="auto"/>
        <w:right w:val="none" w:sz="0" w:space="0" w:color="auto"/>
      </w:divBdr>
    </w:div>
    <w:div w:id="1362633505">
      <w:bodyDiv w:val="1"/>
      <w:marLeft w:val="0"/>
      <w:marRight w:val="0"/>
      <w:marTop w:val="0"/>
      <w:marBottom w:val="0"/>
      <w:divBdr>
        <w:top w:val="none" w:sz="0" w:space="0" w:color="auto"/>
        <w:left w:val="none" w:sz="0" w:space="0" w:color="auto"/>
        <w:bottom w:val="none" w:sz="0" w:space="0" w:color="auto"/>
        <w:right w:val="none" w:sz="0" w:space="0" w:color="auto"/>
      </w:divBdr>
    </w:div>
    <w:div w:id="1443527531">
      <w:bodyDiv w:val="1"/>
      <w:marLeft w:val="0"/>
      <w:marRight w:val="0"/>
      <w:marTop w:val="0"/>
      <w:marBottom w:val="0"/>
      <w:divBdr>
        <w:top w:val="none" w:sz="0" w:space="0" w:color="auto"/>
        <w:left w:val="none" w:sz="0" w:space="0" w:color="auto"/>
        <w:bottom w:val="none" w:sz="0" w:space="0" w:color="auto"/>
        <w:right w:val="none" w:sz="0" w:space="0" w:color="auto"/>
      </w:divBdr>
    </w:div>
    <w:div w:id="1594435152">
      <w:bodyDiv w:val="1"/>
      <w:marLeft w:val="0"/>
      <w:marRight w:val="0"/>
      <w:marTop w:val="0"/>
      <w:marBottom w:val="0"/>
      <w:divBdr>
        <w:top w:val="none" w:sz="0" w:space="0" w:color="auto"/>
        <w:left w:val="none" w:sz="0" w:space="0" w:color="auto"/>
        <w:bottom w:val="none" w:sz="0" w:space="0" w:color="auto"/>
        <w:right w:val="none" w:sz="0" w:space="0" w:color="auto"/>
      </w:divBdr>
    </w:div>
    <w:div w:id="1765567560">
      <w:bodyDiv w:val="1"/>
      <w:marLeft w:val="0"/>
      <w:marRight w:val="0"/>
      <w:marTop w:val="0"/>
      <w:marBottom w:val="0"/>
      <w:divBdr>
        <w:top w:val="none" w:sz="0" w:space="0" w:color="auto"/>
        <w:left w:val="none" w:sz="0" w:space="0" w:color="auto"/>
        <w:bottom w:val="none" w:sz="0" w:space="0" w:color="auto"/>
        <w:right w:val="none" w:sz="0" w:space="0" w:color="auto"/>
      </w:divBdr>
    </w:div>
    <w:div w:id="1897931367">
      <w:bodyDiv w:val="1"/>
      <w:marLeft w:val="0"/>
      <w:marRight w:val="0"/>
      <w:marTop w:val="0"/>
      <w:marBottom w:val="0"/>
      <w:divBdr>
        <w:top w:val="none" w:sz="0" w:space="0" w:color="auto"/>
        <w:left w:val="none" w:sz="0" w:space="0" w:color="auto"/>
        <w:bottom w:val="none" w:sz="0" w:space="0" w:color="auto"/>
        <w:right w:val="none" w:sz="0" w:space="0" w:color="auto"/>
      </w:divBdr>
    </w:div>
    <w:div w:id="1953855464">
      <w:bodyDiv w:val="1"/>
      <w:marLeft w:val="0"/>
      <w:marRight w:val="0"/>
      <w:marTop w:val="0"/>
      <w:marBottom w:val="0"/>
      <w:divBdr>
        <w:top w:val="none" w:sz="0" w:space="0" w:color="auto"/>
        <w:left w:val="none" w:sz="0" w:space="0" w:color="auto"/>
        <w:bottom w:val="none" w:sz="0" w:space="0" w:color="auto"/>
        <w:right w:val="none" w:sz="0" w:space="0" w:color="auto"/>
      </w:divBdr>
    </w:div>
    <w:div w:id="2003657925">
      <w:bodyDiv w:val="1"/>
      <w:marLeft w:val="0"/>
      <w:marRight w:val="0"/>
      <w:marTop w:val="0"/>
      <w:marBottom w:val="0"/>
      <w:divBdr>
        <w:top w:val="none" w:sz="0" w:space="0" w:color="auto"/>
        <w:left w:val="none" w:sz="0" w:space="0" w:color="auto"/>
        <w:bottom w:val="none" w:sz="0" w:space="0" w:color="auto"/>
        <w:right w:val="none" w:sz="0" w:space="0" w:color="auto"/>
      </w:divBdr>
    </w:div>
    <w:div w:id="2013097193">
      <w:bodyDiv w:val="1"/>
      <w:marLeft w:val="0"/>
      <w:marRight w:val="0"/>
      <w:marTop w:val="0"/>
      <w:marBottom w:val="0"/>
      <w:divBdr>
        <w:top w:val="none" w:sz="0" w:space="0" w:color="auto"/>
        <w:left w:val="none" w:sz="0" w:space="0" w:color="auto"/>
        <w:bottom w:val="none" w:sz="0" w:space="0" w:color="auto"/>
        <w:right w:val="none" w:sz="0" w:space="0" w:color="auto"/>
      </w:divBdr>
    </w:div>
    <w:div w:id="2081781840">
      <w:bodyDiv w:val="1"/>
      <w:marLeft w:val="0"/>
      <w:marRight w:val="0"/>
      <w:marTop w:val="0"/>
      <w:marBottom w:val="0"/>
      <w:divBdr>
        <w:top w:val="none" w:sz="0" w:space="0" w:color="auto"/>
        <w:left w:val="none" w:sz="0" w:space="0" w:color="auto"/>
        <w:bottom w:val="none" w:sz="0" w:space="0" w:color="auto"/>
        <w:right w:val="none" w:sz="0" w:space="0" w:color="auto"/>
      </w:divBdr>
    </w:div>
    <w:div w:id="20934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thicscommittees.health.govt.nz/moh.nsf/indexcm/ethics-about-centr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t.nz/act/public/2000/0091/latest/DLM80051.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legislation.govt.nz/act/public/1990/0068/latest/DLM21301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5B1F-98C8-46DF-A128-F175001A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730EFB92</Template>
  <TotalTime>30</TotalTime>
  <Pages>29</Pages>
  <Words>6274</Words>
  <Characters>35766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Bronwen Wall</cp:lastModifiedBy>
  <cp:revision>6</cp:revision>
  <cp:lastPrinted>2018-10-03T19:12:00Z</cp:lastPrinted>
  <dcterms:created xsi:type="dcterms:W3CDTF">2018-10-02T04:00:00Z</dcterms:created>
  <dcterms:modified xsi:type="dcterms:W3CDTF">2018-10-03T19:12:00Z</dcterms:modified>
</cp:coreProperties>
</file>