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77" w:rsidRPr="00522B40" w:rsidRDefault="00E24E77" w:rsidP="001B1ABA">
      <w:pPr>
        <w:rPr>
          <w:sz w:val="20"/>
        </w:rPr>
      </w:pPr>
      <w:bookmarkStart w:id="0" w:name="_GoBack"/>
      <w:bookmarkEnd w:id="0"/>
    </w:p>
    <w:p w:rsidR="00E24E77" w:rsidRPr="00522B40" w:rsidRDefault="00E24E77" w:rsidP="001B1ABA">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1B1ABA">
            <w:pPr>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1B1ABA">
            <w:pPr>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1B1ABA">
            <w:pPr>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1B1ABA">
            <w:pPr>
              <w:rPr>
                <w:rFonts w:cs="Arial"/>
                <w:color w:val="FF00FF"/>
                <w:sz w:val="20"/>
                <w:lang w:val="en-NZ"/>
              </w:rPr>
            </w:pPr>
            <w:r w:rsidRPr="00457752">
              <w:rPr>
                <w:rFonts w:cs="Arial"/>
                <w:sz w:val="20"/>
                <w:lang w:val="en-NZ"/>
              </w:rPr>
              <w:t>24 March 2020</w:t>
            </w:r>
          </w:p>
        </w:tc>
      </w:tr>
      <w:tr w:rsidR="00E24E77" w:rsidRPr="00522B40" w:rsidTr="00D11BE7">
        <w:tc>
          <w:tcPr>
            <w:tcW w:w="2268" w:type="dxa"/>
            <w:tcBorders>
              <w:bottom w:val="single" w:sz="4" w:space="0" w:color="auto"/>
            </w:tcBorders>
            <w:shd w:val="clear" w:color="auto" w:fill="F3F3F3"/>
          </w:tcPr>
          <w:p w:rsidR="00E24E77" w:rsidRPr="00522B40" w:rsidRDefault="00E24E77" w:rsidP="001B1ABA">
            <w:pPr>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1B1ABA">
            <w:pPr>
              <w:rPr>
                <w:rFonts w:cs="Arial"/>
                <w:color w:val="FF00FF"/>
                <w:sz w:val="20"/>
                <w:lang w:val="en-NZ"/>
              </w:rPr>
            </w:pPr>
            <w:r w:rsidRPr="00457752">
              <w:rPr>
                <w:rFonts w:cs="Arial"/>
                <w:sz w:val="20"/>
                <w:lang w:val="en-NZ"/>
              </w:rPr>
              <w:t>Room 1S.5, Level 1, Ministry of Health, 133 Molesworth Street, Wellington</w:t>
            </w:r>
          </w:p>
        </w:tc>
      </w:tr>
    </w:tbl>
    <w:p w:rsidR="00E24E77" w:rsidRPr="001B1ABA" w:rsidRDefault="00E24E77" w:rsidP="001B1ABA">
      <w:pPr>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938"/>
      </w:tblGrid>
      <w:tr w:rsidR="001B1ABA" w:rsidRPr="001B1ABA" w:rsidTr="001B1ABA">
        <w:tc>
          <w:tcPr>
            <w:tcW w:w="1838" w:type="dxa"/>
            <w:tcBorders>
              <w:top w:val="single" w:sz="4" w:space="0" w:color="auto"/>
            </w:tcBorders>
            <w:shd w:val="clear" w:color="auto" w:fill="F2F2F2" w:themeFill="background1" w:themeFillShade="F2"/>
          </w:tcPr>
          <w:p w:rsidR="006C4833" w:rsidRPr="001B1ABA" w:rsidRDefault="006C4833" w:rsidP="001B1ABA">
            <w:pPr>
              <w:rPr>
                <w:rFonts w:cs="Arial"/>
                <w:b/>
                <w:sz w:val="20"/>
                <w:lang w:val="en-NZ" w:eastAsia="en-GB"/>
              </w:rPr>
            </w:pPr>
            <w:r w:rsidRPr="001B1ABA">
              <w:rPr>
                <w:rFonts w:cs="Arial"/>
                <w:b/>
                <w:sz w:val="20"/>
                <w:lang w:val="en-NZ" w:eastAsia="en-GB"/>
              </w:rPr>
              <w:t>Time</w:t>
            </w:r>
          </w:p>
        </w:tc>
        <w:tc>
          <w:tcPr>
            <w:tcW w:w="7938" w:type="dxa"/>
            <w:tcBorders>
              <w:top w:val="single" w:sz="4" w:space="0" w:color="auto"/>
            </w:tcBorders>
            <w:shd w:val="clear" w:color="auto" w:fill="F2F2F2" w:themeFill="background1" w:themeFillShade="F2"/>
          </w:tcPr>
          <w:p w:rsidR="006C4833" w:rsidRPr="001B1ABA" w:rsidRDefault="006C4833" w:rsidP="001B1ABA">
            <w:pPr>
              <w:rPr>
                <w:rFonts w:cs="Arial"/>
                <w:b/>
                <w:sz w:val="20"/>
                <w:lang w:val="en-NZ" w:eastAsia="en-GB"/>
              </w:rPr>
            </w:pPr>
            <w:r w:rsidRPr="001B1ABA">
              <w:rPr>
                <w:rFonts w:cs="Arial"/>
                <w:b/>
                <w:sz w:val="20"/>
                <w:lang w:val="en-NZ" w:eastAsia="en-GB"/>
              </w:rPr>
              <w:t>Item of business</w:t>
            </w:r>
          </w:p>
        </w:tc>
      </w:tr>
      <w:tr w:rsidR="001B1ABA" w:rsidRPr="001B1ABA" w:rsidTr="001B1ABA">
        <w:tc>
          <w:tcPr>
            <w:tcW w:w="1838" w:type="dxa"/>
            <w:shd w:val="clear" w:color="auto" w:fill="F2F2F2" w:themeFill="background1" w:themeFillShade="F2"/>
          </w:tcPr>
          <w:p w:rsidR="006C4833" w:rsidRPr="001B1ABA" w:rsidRDefault="001B1ABA" w:rsidP="001B1ABA">
            <w:pPr>
              <w:rPr>
                <w:rFonts w:cs="Arial"/>
                <w:sz w:val="20"/>
                <w:lang w:val="en-NZ" w:eastAsia="en-GB"/>
              </w:rPr>
            </w:pPr>
            <w:r w:rsidRPr="001B1ABA">
              <w:rPr>
                <w:rFonts w:cs="Arial"/>
                <w:sz w:val="20"/>
                <w:lang w:val="en-NZ" w:eastAsia="en-GB"/>
              </w:rPr>
              <w:t>12:00pm</w:t>
            </w:r>
          </w:p>
        </w:tc>
        <w:tc>
          <w:tcPr>
            <w:tcW w:w="7938" w:type="dxa"/>
            <w:shd w:val="clear" w:color="auto" w:fill="F2F2F2" w:themeFill="background1" w:themeFillShade="F2"/>
          </w:tcPr>
          <w:p w:rsidR="006C4833" w:rsidRPr="001B1ABA" w:rsidRDefault="006C4833" w:rsidP="001B1ABA">
            <w:pPr>
              <w:rPr>
                <w:rFonts w:cs="Arial"/>
                <w:sz w:val="20"/>
                <w:lang w:val="en-NZ" w:eastAsia="en-GB"/>
              </w:rPr>
            </w:pPr>
            <w:r w:rsidRPr="001B1ABA">
              <w:rPr>
                <w:rFonts w:cs="Arial"/>
                <w:sz w:val="20"/>
                <w:lang w:val="en-NZ" w:eastAsia="en-GB"/>
              </w:rPr>
              <w:t>Welcome</w:t>
            </w:r>
          </w:p>
        </w:tc>
      </w:tr>
      <w:tr w:rsidR="001B1ABA" w:rsidRPr="001B1ABA" w:rsidTr="001B1ABA">
        <w:tc>
          <w:tcPr>
            <w:tcW w:w="1838" w:type="dxa"/>
            <w:shd w:val="clear" w:color="auto" w:fill="F2F2F2" w:themeFill="background1" w:themeFillShade="F2"/>
          </w:tcPr>
          <w:p w:rsidR="007F56D5" w:rsidRPr="001B1ABA" w:rsidRDefault="001B1ABA" w:rsidP="001B1ABA">
            <w:pPr>
              <w:rPr>
                <w:rFonts w:cs="Arial"/>
                <w:sz w:val="20"/>
                <w:lang w:val="en-NZ" w:eastAsia="en-GB"/>
              </w:rPr>
            </w:pPr>
            <w:r w:rsidRPr="001B1ABA">
              <w:rPr>
                <w:rFonts w:cs="Arial"/>
                <w:sz w:val="20"/>
                <w:lang w:val="en-NZ" w:eastAsia="en-GB"/>
              </w:rPr>
              <w:t>12:05pm</w:t>
            </w:r>
          </w:p>
        </w:tc>
        <w:tc>
          <w:tcPr>
            <w:tcW w:w="7938" w:type="dxa"/>
            <w:shd w:val="clear" w:color="auto" w:fill="F2F2F2" w:themeFill="background1" w:themeFillShade="F2"/>
          </w:tcPr>
          <w:p w:rsidR="007F56D5" w:rsidRPr="001B1ABA" w:rsidRDefault="007F56D5" w:rsidP="001B1ABA">
            <w:pPr>
              <w:rPr>
                <w:rFonts w:cs="Arial"/>
                <w:sz w:val="20"/>
                <w:lang w:val="en-NZ" w:eastAsia="en-GB"/>
              </w:rPr>
            </w:pPr>
            <w:r w:rsidRPr="001B1ABA">
              <w:rPr>
                <w:rFonts w:cs="Arial"/>
                <w:sz w:val="20"/>
                <w:lang w:val="en-NZ" w:eastAsia="en-GB"/>
              </w:rPr>
              <w:t>Confirmation of minutes of meeting of 25 February 2020</w:t>
            </w:r>
          </w:p>
        </w:tc>
      </w:tr>
      <w:tr w:rsidR="001B1ABA" w:rsidRPr="001B1ABA" w:rsidTr="001B1ABA">
        <w:tc>
          <w:tcPr>
            <w:tcW w:w="1838" w:type="dxa"/>
            <w:shd w:val="clear" w:color="auto" w:fill="F2F2F2" w:themeFill="background1" w:themeFillShade="F2"/>
          </w:tcPr>
          <w:p w:rsidR="007F56D5" w:rsidRPr="001B1ABA" w:rsidRDefault="001B1ABA" w:rsidP="001B1ABA">
            <w:pPr>
              <w:rPr>
                <w:rFonts w:cs="Arial"/>
                <w:sz w:val="20"/>
                <w:lang w:val="en-NZ" w:eastAsia="en-GB"/>
              </w:rPr>
            </w:pPr>
            <w:r w:rsidRPr="001B1ABA">
              <w:rPr>
                <w:rFonts w:cs="Arial"/>
                <w:sz w:val="20"/>
                <w:lang w:val="en-NZ" w:eastAsia="en-GB"/>
              </w:rPr>
              <w:t>12:30pm</w:t>
            </w:r>
          </w:p>
        </w:tc>
        <w:tc>
          <w:tcPr>
            <w:tcW w:w="7938" w:type="dxa"/>
            <w:shd w:val="clear" w:color="auto" w:fill="F2F2F2" w:themeFill="background1" w:themeFillShade="F2"/>
          </w:tcPr>
          <w:p w:rsidR="007F56D5" w:rsidRPr="001B1ABA" w:rsidRDefault="007F56D5" w:rsidP="001B1ABA">
            <w:pPr>
              <w:rPr>
                <w:rFonts w:cs="Arial"/>
                <w:sz w:val="20"/>
                <w:lang w:val="en-NZ" w:eastAsia="en-GB"/>
              </w:rPr>
            </w:pPr>
            <w:r w:rsidRPr="001B1ABA">
              <w:rPr>
                <w:rFonts w:cs="Arial"/>
                <w:sz w:val="20"/>
                <w:lang w:val="en-NZ" w:eastAsia="en-GB"/>
              </w:rPr>
              <w:t>New applications (see over for details)</w:t>
            </w:r>
          </w:p>
        </w:tc>
      </w:tr>
      <w:tr w:rsidR="001B1ABA" w:rsidRPr="001B1ABA" w:rsidTr="001B1ABA">
        <w:tc>
          <w:tcPr>
            <w:tcW w:w="1838" w:type="dxa"/>
            <w:shd w:val="clear" w:color="auto" w:fill="F2F2F2" w:themeFill="background1" w:themeFillShade="F2"/>
          </w:tcPr>
          <w:p w:rsidR="001B1ABA" w:rsidRPr="001B1ABA" w:rsidRDefault="001B1ABA" w:rsidP="001B1ABA">
            <w:pPr>
              <w:rPr>
                <w:rFonts w:cs="Arial"/>
                <w:sz w:val="20"/>
                <w:lang w:val="en-NZ" w:eastAsia="en-GB"/>
              </w:rPr>
            </w:pPr>
            <w:r w:rsidRPr="001B1ABA">
              <w:rPr>
                <w:rFonts w:cs="Arial"/>
                <w:sz w:val="20"/>
                <w:lang w:val="en-NZ" w:eastAsia="en-GB"/>
              </w:rPr>
              <w:t>12:30 – 12:55pm</w:t>
            </w:r>
          </w:p>
          <w:p w:rsidR="001B1ABA" w:rsidRPr="001B1ABA" w:rsidRDefault="001B1ABA" w:rsidP="001B1ABA">
            <w:pPr>
              <w:rPr>
                <w:rFonts w:cs="Arial"/>
                <w:sz w:val="20"/>
                <w:lang w:val="en-NZ" w:eastAsia="en-GB"/>
              </w:rPr>
            </w:pPr>
            <w:r w:rsidRPr="001B1ABA">
              <w:rPr>
                <w:rFonts w:cs="Arial"/>
                <w:sz w:val="20"/>
                <w:lang w:val="en-NZ" w:eastAsia="en-GB"/>
              </w:rPr>
              <w:t>12:55 – 1:20pm</w:t>
            </w:r>
          </w:p>
          <w:p w:rsidR="001B1ABA" w:rsidRPr="001B1ABA" w:rsidRDefault="001B1ABA" w:rsidP="001B1ABA">
            <w:pPr>
              <w:rPr>
                <w:rFonts w:cs="Arial"/>
                <w:sz w:val="20"/>
                <w:lang w:val="en-NZ" w:eastAsia="en-GB"/>
              </w:rPr>
            </w:pPr>
            <w:r w:rsidRPr="001B1ABA">
              <w:rPr>
                <w:rFonts w:cs="Arial"/>
                <w:sz w:val="20"/>
                <w:lang w:val="en-NZ" w:eastAsia="en-GB"/>
              </w:rPr>
              <w:t>1:20 – 1:45pm</w:t>
            </w:r>
          </w:p>
          <w:p w:rsidR="001B1ABA" w:rsidRPr="001B1ABA" w:rsidRDefault="001B1ABA" w:rsidP="001B1ABA">
            <w:pPr>
              <w:rPr>
                <w:rFonts w:cs="Arial"/>
                <w:sz w:val="20"/>
                <w:lang w:val="en-NZ" w:eastAsia="en-GB"/>
              </w:rPr>
            </w:pPr>
            <w:r w:rsidRPr="001B1ABA">
              <w:rPr>
                <w:rFonts w:cs="Arial"/>
                <w:sz w:val="20"/>
                <w:lang w:val="en-NZ" w:eastAsia="en-GB"/>
              </w:rPr>
              <w:t>1:45 – 2:10pm</w:t>
            </w:r>
          </w:p>
          <w:p w:rsidR="001B1ABA" w:rsidRPr="001B1ABA" w:rsidRDefault="001B1ABA" w:rsidP="001B1ABA">
            <w:pPr>
              <w:rPr>
                <w:rFonts w:cs="Arial"/>
                <w:sz w:val="20"/>
                <w:lang w:val="en-NZ" w:eastAsia="en-GB"/>
              </w:rPr>
            </w:pPr>
            <w:r w:rsidRPr="001B1ABA">
              <w:rPr>
                <w:rFonts w:cs="Arial"/>
                <w:sz w:val="20"/>
                <w:lang w:val="en-NZ" w:eastAsia="en-GB"/>
              </w:rPr>
              <w:t>2:10 – 2:35pm</w:t>
            </w:r>
          </w:p>
          <w:p w:rsidR="001B1ABA" w:rsidRPr="001B1ABA" w:rsidRDefault="001B1ABA" w:rsidP="001B1ABA">
            <w:pPr>
              <w:rPr>
                <w:rFonts w:cs="Arial"/>
                <w:sz w:val="20"/>
                <w:lang w:val="en-NZ" w:eastAsia="en-GB"/>
              </w:rPr>
            </w:pPr>
            <w:r w:rsidRPr="001B1ABA">
              <w:rPr>
                <w:rFonts w:cs="Arial"/>
                <w:sz w:val="20"/>
                <w:lang w:val="en-NZ" w:eastAsia="en-GB"/>
              </w:rPr>
              <w:t>2:35 – 3:00pm</w:t>
            </w:r>
          </w:p>
        </w:tc>
        <w:tc>
          <w:tcPr>
            <w:tcW w:w="7938" w:type="dxa"/>
            <w:shd w:val="clear" w:color="auto" w:fill="F2F2F2" w:themeFill="background1" w:themeFillShade="F2"/>
          </w:tcPr>
          <w:p w:rsidR="00826455" w:rsidRPr="001B1ABA" w:rsidRDefault="00826455" w:rsidP="001B1ABA">
            <w:pPr>
              <w:rPr>
                <w:rFonts w:cs="Arial"/>
                <w:sz w:val="20"/>
                <w:lang w:val="en-NZ" w:eastAsia="en-GB"/>
              </w:rPr>
            </w:pPr>
            <w:r w:rsidRPr="001B1ABA">
              <w:rPr>
                <w:rFonts w:cs="Arial"/>
                <w:sz w:val="20"/>
                <w:lang w:val="en-NZ" w:eastAsia="en-GB"/>
              </w:rPr>
              <w:t xml:space="preserve"> </w:t>
            </w:r>
            <w:proofErr w:type="spellStart"/>
            <w:r w:rsidRPr="001B1ABA">
              <w:rPr>
                <w:rFonts w:cs="Arial"/>
                <w:sz w:val="20"/>
                <w:lang w:val="en-NZ" w:eastAsia="en-GB"/>
              </w:rPr>
              <w:t>i</w:t>
            </w:r>
            <w:proofErr w:type="spellEnd"/>
            <w:r w:rsidRPr="001B1ABA">
              <w:rPr>
                <w:rFonts w:cs="Arial"/>
                <w:sz w:val="20"/>
                <w:lang w:val="en-NZ" w:eastAsia="en-GB"/>
              </w:rPr>
              <w:t xml:space="preserve"> 20/CEN/47</w:t>
            </w:r>
          </w:p>
          <w:p w:rsidR="00826455" w:rsidRPr="001B1ABA" w:rsidRDefault="00826455" w:rsidP="001B1ABA">
            <w:pPr>
              <w:rPr>
                <w:rFonts w:cs="Arial"/>
                <w:sz w:val="20"/>
                <w:lang w:val="en-NZ" w:eastAsia="en-GB"/>
              </w:rPr>
            </w:pPr>
            <w:r w:rsidRPr="001B1ABA">
              <w:rPr>
                <w:rFonts w:cs="Arial"/>
                <w:sz w:val="20"/>
                <w:lang w:val="en-NZ" w:eastAsia="en-GB"/>
              </w:rPr>
              <w:t xml:space="preserve">  ii 20/CEN/50</w:t>
            </w:r>
          </w:p>
          <w:p w:rsidR="00826455" w:rsidRPr="001B1ABA" w:rsidRDefault="00826455" w:rsidP="001B1ABA">
            <w:pPr>
              <w:rPr>
                <w:rFonts w:cs="Arial"/>
                <w:sz w:val="20"/>
                <w:lang w:val="en-NZ" w:eastAsia="en-GB"/>
              </w:rPr>
            </w:pPr>
            <w:r w:rsidRPr="001B1ABA">
              <w:rPr>
                <w:rFonts w:cs="Arial"/>
                <w:sz w:val="20"/>
                <w:lang w:val="en-NZ" w:eastAsia="en-GB"/>
              </w:rPr>
              <w:t xml:space="preserve">  iii 20/CEN/51</w:t>
            </w:r>
          </w:p>
          <w:p w:rsidR="00826455" w:rsidRPr="001B1ABA" w:rsidRDefault="00826455" w:rsidP="001B1ABA">
            <w:pPr>
              <w:rPr>
                <w:rFonts w:cs="Arial"/>
                <w:sz w:val="20"/>
                <w:lang w:val="en-NZ" w:eastAsia="en-GB"/>
              </w:rPr>
            </w:pPr>
            <w:r w:rsidRPr="001B1ABA">
              <w:rPr>
                <w:rFonts w:cs="Arial"/>
                <w:sz w:val="20"/>
                <w:lang w:val="en-NZ" w:eastAsia="en-GB"/>
              </w:rPr>
              <w:t xml:space="preserve">  iv 20/CEN/59</w:t>
            </w:r>
          </w:p>
          <w:p w:rsidR="00826455" w:rsidRPr="001B1ABA" w:rsidRDefault="00826455" w:rsidP="001B1ABA">
            <w:pPr>
              <w:rPr>
                <w:rFonts w:cs="Arial"/>
                <w:sz w:val="20"/>
                <w:lang w:val="en-NZ" w:eastAsia="en-GB"/>
              </w:rPr>
            </w:pPr>
            <w:r w:rsidRPr="001B1ABA">
              <w:rPr>
                <w:rFonts w:cs="Arial"/>
                <w:sz w:val="20"/>
                <w:lang w:val="en-NZ" w:eastAsia="en-GB"/>
              </w:rPr>
              <w:t xml:space="preserve">  v 20/CEN/61</w:t>
            </w:r>
          </w:p>
          <w:p w:rsidR="001B1ABA" w:rsidRPr="001B1ABA" w:rsidRDefault="00826455" w:rsidP="001B1ABA">
            <w:pPr>
              <w:rPr>
                <w:rFonts w:cs="Arial"/>
                <w:sz w:val="20"/>
                <w:lang w:val="en-NZ" w:eastAsia="en-GB"/>
              </w:rPr>
            </w:pPr>
            <w:r w:rsidRPr="001B1ABA">
              <w:rPr>
                <w:rFonts w:cs="Arial"/>
                <w:sz w:val="20"/>
                <w:lang w:val="en-NZ" w:eastAsia="en-GB"/>
              </w:rPr>
              <w:t xml:space="preserve">  vi 20/CEN/63</w:t>
            </w:r>
          </w:p>
        </w:tc>
      </w:tr>
      <w:tr w:rsidR="001B1ABA" w:rsidRPr="001B1ABA" w:rsidTr="001B1ABA">
        <w:tc>
          <w:tcPr>
            <w:tcW w:w="1838" w:type="dxa"/>
            <w:shd w:val="clear" w:color="auto" w:fill="F2F2F2" w:themeFill="background1" w:themeFillShade="F2"/>
          </w:tcPr>
          <w:p w:rsidR="00826455" w:rsidRPr="001B1ABA" w:rsidRDefault="00826455" w:rsidP="001B1ABA">
            <w:pPr>
              <w:rPr>
                <w:rFonts w:cs="Arial"/>
                <w:sz w:val="20"/>
                <w:lang w:val="en-NZ" w:eastAsia="en-GB"/>
              </w:rPr>
            </w:pPr>
          </w:p>
        </w:tc>
        <w:tc>
          <w:tcPr>
            <w:tcW w:w="7938" w:type="dxa"/>
            <w:shd w:val="clear" w:color="auto" w:fill="F2F2F2" w:themeFill="background1" w:themeFillShade="F2"/>
          </w:tcPr>
          <w:p w:rsidR="00826455" w:rsidRPr="001B1ABA" w:rsidRDefault="00826455" w:rsidP="001B1ABA">
            <w:pPr>
              <w:rPr>
                <w:rFonts w:cs="Arial"/>
                <w:sz w:val="20"/>
                <w:lang w:val="en-NZ" w:eastAsia="en-GB"/>
              </w:rPr>
            </w:pPr>
            <w:r w:rsidRPr="001B1ABA">
              <w:rPr>
                <w:rFonts w:cs="Arial"/>
                <w:sz w:val="20"/>
                <w:lang w:val="en-NZ" w:eastAsia="en-GB"/>
              </w:rPr>
              <w:t>Substantial amendments (see over for details)</w:t>
            </w:r>
          </w:p>
        </w:tc>
      </w:tr>
      <w:tr w:rsidR="001B1ABA" w:rsidRPr="001B1ABA" w:rsidTr="001B1ABA">
        <w:tc>
          <w:tcPr>
            <w:tcW w:w="1838" w:type="dxa"/>
            <w:shd w:val="clear" w:color="auto" w:fill="F2F2F2" w:themeFill="background1" w:themeFillShade="F2"/>
          </w:tcPr>
          <w:p w:rsidR="00826455" w:rsidRPr="001B1ABA" w:rsidRDefault="001B1ABA" w:rsidP="001B1ABA">
            <w:pPr>
              <w:rPr>
                <w:rFonts w:cs="Arial"/>
                <w:sz w:val="20"/>
                <w:lang w:val="en-NZ" w:eastAsia="en-GB"/>
              </w:rPr>
            </w:pPr>
            <w:r w:rsidRPr="001B1ABA">
              <w:rPr>
                <w:rFonts w:cs="Arial"/>
                <w:sz w:val="20"/>
                <w:lang w:val="en-NZ" w:eastAsia="en-GB"/>
              </w:rPr>
              <w:t>3:00-3:15pm</w:t>
            </w:r>
          </w:p>
        </w:tc>
        <w:tc>
          <w:tcPr>
            <w:tcW w:w="7938" w:type="dxa"/>
            <w:shd w:val="clear" w:color="auto" w:fill="F2F2F2" w:themeFill="background1" w:themeFillShade="F2"/>
          </w:tcPr>
          <w:p w:rsidR="00826455" w:rsidRPr="001B1ABA" w:rsidRDefault="00826455" w:rsidP="001B1ABA">
            <w:pPr>
              <w:rPr>
                <w:rFonts w:cs="Arial"/>
                <w:sz w:val="20"/>
                <w:lang w:val="en-NZ" w:eastAsia="en-GB"/>
              </w:rPr>
            </w:pPr>
            <w:r w:rsidRPr="001B1ABA">
              <w:rPr>
                <w:rFonts w:cs="Arial"/>
                <w:sz w:val="20"/>
                <w:lang w:val="en-NZ" w:eastAsia="en-GB"/>
              </w:rPr>
              <w:t xml:space="preserve"> </w:t>
            </w:r>
            <w:proofErr w:type="spellStart"/>
            <w:r w:rsidRPr="001B1ABA">
              <w:rPr>
                <w:rFonts w:cs="Arial"/>
                <w:sz w:val="20"/>
                <w:lang w:val="en-NZ" w:eastAsia="en-GB"/>
              </w:rPr>
              <w:t>i</w:t>
            </w:r>
            <w:proofErr w:type="spellEnd"/>
            <w:r w:rsidRPr="001B1ABA">
              <w:rPr>
                <w:rFonts w:cs="Arial"/>
                <w:sz w:val="20"/>
                <w:lang w:val="en-NZ" w:eastAsia="en-GB"/>
              </w:rPr>
              <w:t xml:space="preserve"> 19/CEN/68/AM01</w:t>
            </w:r>
          </w:p>
        </w:tc>
      </w:tr>
      <w:tr w:rsidR="001B1ABA" w:rsidRPr="001B1ABA" w:rsidTr="001B1ABA">
        <w:tc>
          <w:tcPr>
            <w:tcW w:w="1838" w:type="dxa"/>
            <w:shd w:val="clear" w:color="auto" w:fill="F2F2F2" w:themeFill="background1" w:themeFillShade="F2"/>
          </w:tcPr>
          <w:p w:rsidR="00826455" w:rsidRPr="001B1ABA" w:rsidRDefault="001B1ABA" w:rsidP="001B1ABA">
            <w:pPr>
              <w:rPr>
                <w:rFonts w:cs="Arial"/>
                <w:sz w:val="20"/>
                <w:lang w:val="en-NZ" w:eastAsia="en-GB"/>
              </w:rPr>
            </w:pPr>
            <w:r w:rsidRPr="001B1ABA">
              <w:rPr>
                <w:rFonts w:cs="Arial"/>
                <w:sz w:val="20"/>
                <w:lang w:val="en-NZ" w:eastAsia="en-GB"/>
              </w:rPr>
              <w:t>3:15-3:20pm</w:t>
            </w:r>
          </w:p>
        </w:tc>
        <w:tc>
          <w:tcPr>
            <w:tcW w:w="7938" w:type="dxa"/>
            <w:shd w:val="clear" w:color="auto" w:fill="F2F2F2" w:themeFill="background1" w:themeFillShade="F2"/>
          </w:tcPr>
          <w:p w:rsidR="00826455" w:rsidRPr="001B1ABA" w:rsidRDefault="00826455" w:rsidP="001B1ABA">
            <w:pPr>
              <w:rPr>
                <w:rFonts w:cs="Arial"/>
                <w:sz w:val="20"/>
                <w:lang w:val="en-NZ" w:eastAsia="en-GB"/>
              </w:rPr>
            </w:pPr>
            <w:r w:rsidRPr="001B1ABA">
              <w:rPr>
                <w:rFonts w:cs="Arial"/>
                <w:sz w:val="20"/>
                <w:lang w:val="en-NZ" w:eastAsia="en-GB"/>
              </w:rPr>
              <w:t>General business:</w:t>
            </w:r>
          </w:p>
          <w:p w:rsidR="00826455" w:rsidRPr="001B1ABA" w:rsidRDefault="00826455" w:rsidP="001B1ABA">
            <w:pPr>
              <w:ind w:left="720"/>
              <w:rPr>
                <w:rFonts w:cs="Arial"/>
                <w:sz w:val="20"/>
                <w:lang w:val="en-NZ" w:eastAsia="en-GB"/>
              </w:rPr>
            </w:pPr>
            <w:r w:rsidRPr="001B1ABA">
              <w:rPr>
                <w:rFonts w:cs="Arial"/>
                <w:sz w:val="20"/>
                <w:lang w:val="en-NZ" w:eastAsia="en-GB"/>
              </w:rPr>
              <w:t>Noting section of agenda</w:t>
            </w:r>
          </w:p>
          <w:p w:rsidR="00826455" w:rsidRPr="001B1ABA" w:rsidRDefault="00826455" w:rsidP="001B1ABA">
            <w:pPr>
              <w:rPr>
                <w:rFonts w:cs="Arial"/>
                <w:sz w:val="20"/>
                <w:lang w:val="en-NZ" w:eastAsia="en-GB"/>
              </w:rPr>
            </w:pPr>
            <w:r w:rsidRPr="001B1ABA">
              <w:rPr>
                <w:rFonts w:cs="Arial"/>
                <w:sz w:val="20"/>
                <w:lang w:val="en-NZ" w:eastAsia="en-GB"/>
              </w:rPr>
              <w:t xml:space="preserve">              </w:t>
            </w:r>
          </w:p>
        </w:tc>
      </w:tr>
      <w:tr w:rsidR="001B1ABA" w:rsidRPr="001B1ABA" w:rsidTr="001B1ABA">
        <w:tc>
          <w:tcPr>
            <w:tcW w:w="1838" w:type="dxa"/>
            <w:tcBorders>
              <w:bottom w:val="single" w:sz="4" w:space="0" w:color="auto"/>
            </w:tcBorders>
            <w:shd w:val="clear" w:color="auto" w:fill="F2F2F2" w:themeFill="background1" w:themeFillShade="F2"/>
          </w:tcPr>
          <w:p w:rsidR="00826455" w:rsidRPr="001B1ABA" w:rsidRDefault="001B1ABA" w:rsidP="001B1ABA">
            <w:pPr>
              <w:rPr>
                <w:rFonts w:cs="Arial"/>
                <w:sz w:val="20"/>
                <w:lang w:val="en-NZ" w:eastAsia="en-GB"/>
              </w:rPr>
            </w:pPr>
            <w:r w:rsidRPr="001B1ABA">
              <w:rPr>
                <w:rFonts w:cs="Arial"/>
                <w:sz w:val="20"/>
                <w:lang w:val="en-NZ" w:eastAsia="en-GB"/>
              </w:rPr>
              <w:t>3:20pm</w:t>
            </w:r>
          </w:p>
        </w:tc>
        <w:tc>
          <w:tcPr>
            <w:tcW w:w="7938" w:type="dxa"/>
            <w:tcBorders>
              <w:bottom w:val="single" w:sz="4" w:space="0" w:color="auto"/>
            </w:tcBorders>
            <w:shd w:val="clear" w:color="auto" w:fill="F2F2F2" w:themeFill="background1" w:themeFillShade="F2"/>
          </w:tcPr>
          <w:p w:rsidR="00826455" w:rsidRPr="001B1ABA" w:rsidRDefault="00826455" w:rsidP="001B1ABA">
            <w:pPr>
              <w:rPr>
                <w:rFonts w:cs="Arial"/>
                <w:sz w:val="20"/>
                <w:lang w:val="en-NZ" w:eastAsia="en-GB"/>
              </w:rPr>
            </w:pPr>
            <w:r w:rsidRPr="001B1ABA">
              <w:rPr>
                <w:rFonts w:cs="Arial"/>
                <w:sz w:val="20"/>
                <w:lang w:val="en-NZ" w:eastAsia="en-GB"/>
              </w:rPr>
              <w:t>Meeting ends</w:t>
            </w:r>
          </w:p>
        </w:tc>
      </w:tr>
    </w:tbl>
    <w:p w:rsidR="007F56D5" w:rsidRPr="00522B40" w:rsidRDefault="007F56D5" w:rsidP="001B1ABA">
      <w:pPr>
        <w:rPr>
          <w:rFonts w:cs="Arial"/>
          <w:sz w:val="20"/>
          <w:lang w:val="en-NZ"/>
        </w:rPr>
      </w:pPr>
    </w:p>
    <w:p w:rsidR="00E24E77" w:rsidRDefault="00E24E77" w:rsidP="001B1ABA">
      <w:pPr>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trPr>
          <w:trHeight w:val="240"/>
        </w:trPr>
        <w:tc>
          <w:tcPr>
            <w:tcW w:w="2700" w:type="dxa"/>
            <w:shd w:val="pct12" w:color="auto" w:fill="FFFFFF"/>
            <w:vAlign w:val="center"/>
          </w:tcPr>
          <w:p w:rsidR="00F9451C" w:rsidRPr="00E20390" w:rsidRDefault="00F9451C" w:rsidP="001B1AB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rsidP="001B1AB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9451C" w:rsidRPr="00E20390" w:rsidRDefault="00F9451C" w:rsidP="001B1AB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rsidP="001B1AB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rsidP="001B1AB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rsidP="001B1ABA">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rsidR="00F9451C" w:rsidRPr="00E20390" w:rsidRDefault="00F9451C" w:rsidP="001B1ABA">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rsidP="001B1ABA">
            <w:pPr>
              <w:autoSpaceDE w:val="0"/>
              <w:autoSpaceDN w:val="0"/>
              <w:adjustRightInd w:val="0"/>
              <w:rPr>
                <w:sz w:val="16"/>
                <w:szCs w:val="16"/>
              </w:rPr>
            </w:pPr>
            <w:r w:rsidRPr="00E20390">
              <w:rPr>
                <w:sz w:val="16"/>
                <w:szCs w:val="16"/>
              </w:rPr>
              <w:t xml:space="preserve">01/07/2018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01/07/2021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rsidP="001B1ABA">
            <w:pPr>
              <w:autoSpaceDE w:val="0"/>
              <w:autoSpaceDN w:val="0"/>
              <w:adjustRightInd w:val="0"/>
              <w:rPr>
                <w:sz w:val="16"/>
                <w:szCs w:val="16"/>
              </w:rPr>
            </w:pPr>
            <w:r w:rsidRPr="00E20390">
              <w:rPr>
                <w:sz w:val="16"/>
                <w:szCs w:val="16"/>
              </w:rPr>
              <w:t xml:space="preserve">Mrs Sandy Gill </w:t>
            </w:r>
          </w:p>
        </w:tc>
        <w:tc>
          <w:tcPr>
            <w:tcW w:w="2600" w:type="dxa"/>
          </w:tcPr>
          <w:p w:rsidR="00F9451C" w:rsidRPr="00E20390" w:rsidRDefault="00F9451C" w:rsidP="001B1ABA">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rsidP="001B1ABA">
            <w:pPr>
              <w:autoSpaceDE w:val="0"/>
              <w:autoSpaceDN w:val="0"/>
              <w:adjustRightInd w:val="0"/>
              <w:rPr>
                <w:sz w:val="16"/>
                <w:szCs w:val="16"/>
              </w:rPr>
            </w:pPr>
            <w:r w:rsidRPr="00E20390">
              <w:rPr>
                <w:sz w:val="16"/>
                <w:szCs w:val="16"/>
              </w:rPr>
              <w:t xml:space="preserve">30/07/2015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30/07/2018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rsidP="001B1ABA">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F9451C" w:rsidRPr="00E20390" w:rsidRDefault="00F9451C" w:rsidP="001B1ABA">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rsidP="001B1ABA">
            <w:pPr>
              <w:autoSpaceDE w:val="0"/>
              <w:autoSpaceDN w:val="0"/>
              <w:adjustRightInd w:val="0"/>
              <w:rPr>
                <w:sz w:val="16"/>
                <w:szCs w:val="16"/>
              </w:rPr>
            </w:pPr>
            <w:r w:rsidRPr="00E20390">
              <w:rPr>
                <w:sz w:val="16"/>
                <w:szCs w:val="16"/>
              </w:rPr>
              <w:t xml:space="preserve">27/10/2015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27/10/2018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rsidP="001B1ABA">
            <w:pPr>
              <w:autoSpaceDE w:val="0"/>
              <w:autoSpaceDN w:val="0"/>
              <w:adjustRightInd w:val="0"/>
              <w:rPr>
                <w:sz w:val="16"/>
                <w:szCs w:val="16"/>
              </w:rPr>
            </w:pPr>
            <w:r w:rsidRPr="00E20390">
              <w:rPr>
                <w:sz w:val="16"/>
                <w:szCs w:val="16"/>
              </w:rPr>
              <w:t xml:space="preserve">Dr Cordelia Thomas </w:t>
            </w:r>
          </w:p>
        </w:tc>
        <w:tc>
          <w:tcPr>
            <w:tcW w:w="2600" w:type="dxa"/>
          </w:tcPr>
          <w:p w:rsidR="00F9451C" w:rsidRPr="00E20390" w:rsidRDefault="00F9451C" w:rsidP="001B1ABA">
            <w:pPr>
              <w:autoSpaceDE w:val="0"/>
              <w:autoSpaceDN w:val="0"/>
              <w:adjustRightInd w:val="0"/>
              <w:rPr>
                <w:sz w:val="16"/>
                <w:szCs w:val="16"/>
              </w:rPr>
            </w:pPr>
            <w:r w:rsidRPr="00E20390">
              <w:rPr>
                <w:sz w:val="16"/>
                <w:szCs w:val="16"/>
              </w:rPr>
              <w:t xml:space="preserve">Lay (the law) </w:t>
            </w:r>
          </w:p>
        </w:tc>
        <w:tc>
          <w:tcPr>
            <w:tcW w:w="1300" w:type="dxa"/>
          </w:tcPr>
          <w:p w:rsidR="00F9451C" w:rsidRPr="00E20390" w:rsidRDefault="00F9451C" w:rsidP="001B1ABA">
            <w:pPr>
              <w:autoSpaceDE w:val="0"/>
              <w:autoSpaceDN w:val="0"/>
              <w:adjustRightInd w:val="0"/>
              <w:rPr>
                <w:sz w:val="16"/>
                <w:szCs w:val="16"/>
              </w:rPr>
            </w:pPr>
            <w:r w:rsidRPr="00E20390">
              <w:rPr>
                <w:sz w:val="16"/>
                <w:szCs w:val="16"/>
              </w:rPr>
              <w:t xml:space="preserve">20/05/2017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20/05/2020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rsidP="001B1ABA">
            <w:pPr>
              <w:autoSpaceDE w:val="0"/>
              <w:autoSpaceDN w:val="0"/>
              <w:adjustRightInd w:val="0"/>
              <w:rPr>
                <w:sz w:val="16"/>
                <w:szCs w:val="16"/>
              </w:rPr>
            </w:pPr>
            <w:r w:rsidRPr="00E20390">
              <w:rPr>
                <w:sz w:val="16"/>
                <w:szCs w:val="16"/>
              </w:rPr>
              <w:t xml:space="preserve">Dr Peter Gallagher </w:t>
            </w:r>
          </w:p>
        </w:tc>
        <w:tc>
          <w:tcPr>
            <w:tcW w:w="2600" w:type="dxa"/>
          </w:tcPr>
          <w:p w:rsidR="00F9451C" w:rsidRPr="00E20390" w:rsidRDefault="00F9451C" w:rsidP="001B1AB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rsidP="001B1ABA">
            <w:pPr>
              <w:autoSpaceDE w:val="0"/>
              <w:autoSpaceDN w:val="0"/>
              <w:adjustRightInd w:val="0"/>
              <w:rPr>
                <w:sz w:val="16"/>
                <w:szCs w:val="16"/>
              </w:rPr>
            </w:pPr>
            <w:r w:rsidRPr="00E20390">
              <w:rPr>
                <w:sz w:val="16"/>
                <w:szCs w:val="16"/>
              </w:rPr>
              <w:t xml:space="preserve">30/07/2015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30/07/2018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rsidP="001B1ABA">
            <w:pPr>
              <w:autoSpaceDE w:val="0"/>
              <w:autoSpaceDN w:val="0"/>
              <w:adjustRightInd w:val="0"/>
              <w:rPr>
                <w:sz w:val="16"/>
                <w:szCs w:val="16"/>
              </w:rPr>
            </w:pPr>
            <w:r w:rsidRPr="00E20390">
              <w:rPr>
                <w:sz w:val="16"/>
                <w:szCs w:val="16"/>
              </w:rPr>
              <w:t xml:space="preserve">Ms Helen Davidson </w:t>
            </w:r>
          </w:p>
        </w:tc>
        <w:tc>
          <w:tcPr>
            <w:tcW w:w="2600" w:type="dxa"/>
          </w:tcPr>
          <w:p w:rsidR="00F9451C" w:rsidRPr="00E20390" w:rsidRDefault="00F9451C" w:rsidP="001B1ABA">
            <w:pPr>
              <w:autoSpaceDE w:val="0"/>
              <w:autoSpaceDN w:val="0"/>
              <w:adjustRightInd w:val="0"/>
              <w:rPr>
                <w:sz w:val="16"/>
                <w:szCs w:val="16"/>
              </w:rPr>
            </w:pPr>
            <w:r w:rsidRPr="00E20390">
              <w:rPr>
                <w:sz w:val="16"/>
                <w:szCs w:val="16"/>
              </w:rPr>
              <w:t xml:space="preserve">Lay (ethical/moral reasoning) </w:t>
            </w:r>
          </w:p>
        </w:tc>
        <w:tc>
          <w:tcPr>
            <w:tcW w:w="1300" w:type="dxa"/>
          </w:tcPr>
          <w:p w:rsidR="00F9451C" w:rsidRPr="00E20390" w:rsidRDefault="00F9451C" w:rsidP="001B1ABA">
            <w:pPr>
              <w:autoSpaceDE w:val="0"/>
              <w:autoSpaceDN w:val="0"/>
              <w:adjustRightInd w:val="0"/>
              <w:rPr>
                <w:sz w:val="16"/>
                <w:szCs w:val="16"/>
              </w:rPr>
            </w:pPr>
            <w:r w:rsidRPr="00E20390">
              <w:rPr>
                <w:sz w:val="16"/>
                <w:szCs w:val="16"/>
              </w:rPr>
              <w:t xml:space="preserve">06/12/2018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06/12/2021 </w:t>
            </w:r>
          </w:p>
        </w:tc>
        <w:tc>
          <w:tcPr>
            <w:tcW w:w="1200" w:type="dxa"/>
          </w:tcPr>
          <w:p w:rsidR="00F9451C" w:rsidRPr="00E20390" w:rsidRDefault="00F9451C" w:rsidP="001B1ABA">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bl>
    <w:p w:rsidR="00522B40" w:rsidRPr="00F9451C" w:rsidRDefault="00F9451C" w:rsidP="001B1ABA">
      <w:pPr>
        <w:rPr>
          <w:sz w:val="16"/>
          <w:szCs w:val="16"/>
        </w:rPr>
      </w:pPr>
      <w:r w:rsidRPr="00E20390">
        <w:rPr>
          <w:sz w:val="16"/>
          <w:szCs w:val="16"/>
        </w:rPr>
        <w:t xml:space="preserve"> </w:t>
      </w:r>
    </w:p>
    <w:p w:rsidR="00E24E77" w:rsidRDefault="00E24E77" w:rsidP="001B1ABA">
      <w:pPr>
        <w:pStyle w:val="Heading2"/>
        <w:pBdr>
          <w:bottom w:val="single" w:sz="12" w:space="1" w:color="auto"/>
        </w:pBdr>
        <w:spacing w:before="0" w:after="0"/>
      </w:pPr>
      <w:r>
        <w:br w:type="page"/>
      </w:r>
      <w:r>
        <w:lastRenderedPageBreak/>
        <w:t>Welcome</w:t>
      </w:r>
    </w:p>
    <w:p w:rsidR="00E24E77" w:rsidRDefault="00E24E77" w:rsidP="001B1ABA">
      <w:r>
        <w:t xml:space="preserve"> </w:t>
      </w:r>
    </w:p>
    <w:p w:rsidR="00E24E77" w:rsidRPr="003D40DF" w:rsidRDefault="00E24E77" w:rsidP="001B1ABA">
      <w:pPr>
        <w:rPr>
          <w:lang w:val="en-NZ"/>
        </w:rPr>
      </w:pPr>
    </w:p>
    <w:p w:rsidR="00E24E77" w:rsidRPr="00204AC4" w:rsidRDefault="00E24E77" w:rsidP="003D40DF">
      <w:pPr>
        <w:rPr>
          <w:rFonts w:cs="Arial"/>
          <w:color w:val="33CCCC"/>
          <w:szCs w:val="22"/>
          <w:lang w:val="en-NZ"/>
        </w:rPr>
      </w:pPr>
      <w:r w:rsidRPr="003D40DF">
        <w:rPr>
          <w:rFonts w:cs="Arial"/>
          <w:szCs w:val="22"/>
          <w:lang w:val="en-NZ"/>
        </w:rPr>
        <w:t xml:space="preserve">The Chair opened the meeting at </w:t>
      </w:r>
      <w:r w:rsidR="003D40DF" w:rsidRPr="003D40DF">
        <w:rPr>
          <w:rFonts w:cs="Arial"/>
          <w:szCs w:val="22"/>
          <w:lang w:val="en-NZ"/>
        </w:rPr>
        <w:t>12:00pm</w:t>
      </w:r>
      <w:r w:rsidRPr="00204AC4">
        <w:rPr>
          <w:rFonts w:cs="Arial"/>
          <w:color w:val="33CCCC"/>
          <w:szCs w:val="22"/>
          <w:lang w:val="en-NZ"/>
        </w:rPr>
        <w:t xml:space="preserve"> </w:t>
      </w:r>
      <w:r w:rsidRPr="00204AC4">
        <w:rPr>
          <w:rFonts w:cs="Arial"/>
          <w:szCs w:val="22"/>
          <w:lang w:val="en-NZ"/>
        </w:rPr>
        <w:t>and welcomed Committee members</w:t>
      </w:r>
      <w:r w:rsidR="003D40DF">
        <w:rPr>
          <w:rFonts w:cs="Arial"/>
          <w:szCs w:val="22"/>
          <w:lang w:val="en-NZ"/>
        </w:rPr>
        <w:t>.</w:t>
      </w:r>
    </w:p>
    <w:p w:rsidR="00E24E77" w:rsidRDefault="00E24E77" w:rsidP="001B1ABA">
      <w:pPr>
        <w:rPr>
          <w:lang w:val="en-NZ"/>
        </w:rPr>
      </w:pPr>
    </w:p>
    <w:p w:rsidR="00E24E77" w:rsidRDefault="00E24E77" w:rsidP="001B1ABA">
      <w:pPr>
        <w:rPr>
          <w:lang w:val="en-NZ"/>
        </w:rPr>
      </w:pPr>
      <w:r>
        <w:rPr>
          <w:lang w:val="en-NZ"/>
        </w:rPr>
        <w:t xml:space="preserve">The Chair noted that the meeting was quorate. </w:t>
      </w:r>
    </w:p>
    <w:p w:rsidR="00E24E77" w:rsidRDefault="00E24E77" w:rsidP="001B1ABA">
      <w:pPr>
        <w:rPr>
          <w:lang w:val="en-NZ"/>
        </w:rPr>
      </w:pPr>
    </w:p>
    <w:p w:rsidR="00E24E77" w:rsidRDefault="00E24E77" w:rsidP="001B1ABA">
      <w:pPr>
        <w:rPr>
          <w:lang w:val="en-NZ"/>
        </w:rPr>
      </w:pPr>
      <w:r>
        <w:rPr>
          <w:lang w:val="en-NZ"/>
        </w:rPr>
        <w:t>The Committee noted and agreed the agenda for the meeting.</w:t>
      </w:r>
    </w:p>
    <w:p w:rsidR="00E24E77" w:rsidRDefault="00E24E77" w:rsidP="001B1ABA">
      <w:pPr>
        <w:rPr>
          <w:lang w:val="en-NZ"/>
        </w:rPr>
      </w:pPr>
    </w:p>
    <w:p w:rsidR="00E24E77" w:rsidRDefault="00E24E77" w:rsidP="001B1ABA">
      <w:pPr>
        <w:rPr>
          <w:lang w:val="en-NZ"/>
        </w:rPr>
      </w:pPr>
    </w:p>
    <w:p w:rsidR="00E24E77" w:rsidRDefault="00E24E77" w:rsidP="001B1ABA">
      <w:pPr>
        <w:pStyle w:val="Heading2"/>
        <w:pBdr>
          <w:bottom w:val="single" w:sz="12" w:space="1" w:color="auto"/>
        </w:pBdr>
        <w:spacing w:before="0" w:after="0"/>
      </w:pPr>
      <w:r>
        <w:t>Confirmation of previous minutes</w:t>
      </w:r>
    </w:p>
    <w:p w:rsidR="00E24E77" w:rsidRDefault="00E24E77" w:rsidP="001B1ABA">
      <w:pPr>
        <w:rPr>
          <w:lang w:val="en-NZ"/>
        </w:rPr>
      </w:pPr>
    </w:p>
    <w:p w:rsidR="00E24E77" w:rsidRDefault="00E24E77" w:rsidP="001B1ABA">
      <w:pPr>
        <w:rPr>
          <w:lang w:val="en-NZ"/>
        </w:rPr>
      </w:pPr>
    </w:p>
    <w:p w:rsidR="00E24E77" w:rsidRDefault="00E24E77" w:rsidP="001B1ABA">
      <w:pPr>
        <w:rPr>
          <w:lang w:val="en-NZ"/>
        </w:rPr>
      </w:pPr>
      <w:r w:rsidRPr="008C6717">
        <w:rPr>
          <w:lang w:val="en-NZ"/>
        </w:rPr>
        <w:t xml:space="preserve">The minutes of the meeting of </w:t>
      </w:r>
      <w:r w:rsidR="008C6717" w:rsidRPr="008C6717">
        <w:rPr>
          <w:rFonts w:cs="Arial"/>
          <w:szCs w:val="22"/>
          <w:lang w:val="en-NZ"/>
        </w:rPr>
        <w:t xml:space="preserve">25 February 2020 </w:t>
      </w:r>
      <w:r>
        <w:rPr>
          <w:lang w:val="en-NZ"/>
        </w:rPr>
        <w:t xml:space="preserve">were </w:t>
      </w:r>
      <w:r w:rsidR="00522B40">
        <w:rPr>
          <w:lang w:val="en-NZ"/>
        </w:rPr>
        <w:t>confirm</w:t>
      </w:r>
      <w:r>
        <w:rPr>
          <w:lang w:val="en-NZ"/>
        </w:rPr>
        <w:t>ed.</w:t>
      </w:r>
    </w:p>
    <w:p w:rsidR="00E24E77" w:rsidRDefault="00E24E77" w:rsidP="001B1ABA">
      <w:pPr>
        <w:rPr>
          <w:color w:val="FF0000"/>
          <w:lang w:val="en-NZ"/>
        </w:rPr>
      </w:pPr>
    </w:p>
    <w:p w:rsidR="00E24E77" w:rsidRPr="00DC35A3" w:rsidRDefault="00E24E77" w:rsidP="001B1ABA">
      <w:pPr>
        <w:rPr>
          <w:lang w:val="en-NZ"/>
        </w:rPr>
      </w:pPr>
    </w:p>
    <w:p w:rsidR="00E24E77" w:rsidRDefault="00E24E77" w:rsidP="001B1ABA">
      <w:pPr>
        <w:pStyle w:val="Heading2"/>
        <w:pBdr>
          <w:bottom w:val="single" w:sz="12" w:space="1" w:color="auto"/>
        </w:pBdr>
        <w:spacing w:before="0" w:after="0"/>
      </w:pPr>
      <w:r>
        <w:br w:type="page"/>
      </w:r>
      <w:r w:rsidRPr="006D4840">
        <w:lastRenderedPageBreak/>
        <w:t xml:space="preserve">New applications </w:t>
      </w:r>
    </w:p>
    <w:p w:rsidR="00E24E77" w:rsidRPr="0018623C" w:rsidRDefault="00E24E77" w:rsidP="001B1ABA"/>
    <w:p w:rsidR="00795EDD" w:rsidRPr="00960BFE" w:rsidRDefault="00795EDD" w:rsidP="001B1AB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trPr>
          <w:trHeight w:val="280"/>
        </w:trPr>
        <w:tc>
          <w:tcPr>
            <w:tcW w:w="966" w:type="dxa"/>
            <w:tcBorders>
              <w:top w:val="nil"/>
              <w:left w:val="nil"/>
              <w:bottom w:val="nil"/>
              <w:right w:val="nil"/>
            </w:tcBorders>
          </w:tcPr>
          <w:p w:rsidR="00795EDD" w:rsidRPr="00960BFE" w:rsidRDefault="00795EDD" w:rsidP="001B1AB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rsidP="001B1A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rsidP="001B1ABA">
            <w:pPr>
              <w:autoSpaceDE w:val="0"/>
              <w:autoSpaceDN w:val="0"/>
              <w:adjustRightInd w:val="0"/>
            </w:pPr>
            <w:r w:rsidRPr="00960BFE">
              <w:rPr>
                <w:b/>
              </w:rPr>
              <w:t>20/CEN/47</w:t>
            </w: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rsidP="001B1ABA">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rsidP="001B1ABA">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rsidP="001B1ABA">
            <w:pPr>
              <w:autoSpaceDE w:val="0"/>
              <w:autoSpaceDN w:val="0"/>
              <w:adjustRightInd w:val="0"/>
            </w:pPr>
            <w:proofErr w:type="spellStart"/>
            <w:r w:rsidRPr="00960BFE">
              <w:t>Pepi</w:t>
            </w:r>
            <w:proofErr w:type="spellEnd"/>
            <w:r w:rsidRPr="00960BFE">
              <w:t xml:space="preserve"> Splint Project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rsidP="001B1ABA">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rsidP="001B1ABA">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rsidP="001B1ABA">
            <w:pPr>
              <w:autoSpaceDE w:val="0"/>
              <w:autoSpaceDN w:val="0"/>
              <w:adjustRightInd w:val="0"/>
            </w:pPr>
            <w:r w:rsidRPr="00960BFE">
              <w:t xml:space="preserve">Dr Deborah Harris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rsidP="001B1ABA">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rsidP="001B1ABA">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rsidP="001B1ABA">
            <w:pPr>
              <w:autoSpaceDE w:val="0"/>
              <w:autoSpaceDN w:val="0"/>
              <w:adjustRightInd w:val="0"/>
            </w:pPr>
            <w:r w:rsidRPr="00960BFE">
              <w:t xml:space="preserve">Victoria University of Wellington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rsidP="001B1ABA">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rsidP="001B1ABA">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rsidP="001B1ABA">
            <w:pPr>
              <w:autoSpaceDE w:val="0"/>
              <w:autoSpaceDN w:val="0"/>
              <w:adjustRightInd w:val="0"/>
            </w:pPr>
            <w:r w:rsidRPr="00960BFE">
              <w:t xml:space="preserve">12 March 2020 </w:t>
            </w:r>
          </w:p>
        </w:tc>
        <w:tc>
          <w:tcPr>
            <w:tcW w:w="360" w:type="dxa"/>
          </w:tcPr>
          <w:p w:rsidR="00795EDD" w:rsidRPr="00960BFE" w:rsidRDefault="00795EDD">
            <w:r w:rsidRPr="00960BFE">
              <w:t xml:space="preserve"> </w:t>
            </w:r>
          </w:p>
        </w:tc>
      </w:tr>
    </w:tbl>
    <w:p w:rsidR="00795EDD" w:rsidRPr="00960BFE" w:rsidRDefault="00795EDD" w:rsidP="001B1ABA">
      <w:r w:rsidRPr="00960BFE">
        <w:t xml:space="preserve"> </w:t>
      </w:r>
    </w:p>
    <w:p w:rsidR="00F36432" w:rsidRPr="00987913" w:rsidRDefault="004E4602" w:rsidP="00F36432">
      <w:pPr>
        <w:autoSpaceDE w:val="0"/>
        <w:autoSpaceDN w:val="0"/>
        <w:adjustRightInd w:val="0"/>
        <w:rPr>
          <w:sz w:val="20"/>
          <w:lang w:val="en-NZ"/>
        </w:rPr>
      </w:pPr>
      <w:r w:rsidRPr="004E4602">
        <w:rPr>
          <w:rFonts w:cs="Arial"/>
          <w:szCs w:val="22"/>
          <w:lang w:val="en-NZ"/>
        </w:rPr>
        <w:t>Dr Deborah Harris</w:t>
      </w:r>
      <w:r w:rsidR="00F36432" w:rsidRPr="004E4602">
        <w:rPr>
          <w:lang w:val="en-NZ"/>
        </w:rPr>
        <w:t xml:space="preserve"> was present </w:t>
      </w:r>
      <w:r w:rsidR="00F36432" w:rsidRPr="004E4602">
        <w:rPr>
          <w:rFonts w:cs="Arial"/>
          <w:szCs w:val="22"/>
          <w:lang w:val="en-NZ"/>
        </w:rPr>
        <w:t>by teleconference</w:t>
      </w:r>
      <w:r w:rsidR="00F36432" w:rsidRPr="00960BFE">
        <w:rPr>
          <w:lang w:val="en-NZ"/>
        </w:rPr>
        <w:t xml:space="preserve"> </w:t>
      </w:r>
      <w:r w:rsidR="00F36432" w:rsidRPr="00987913">
        <w:rPr>
          <w:lang w:val="en-NZ"/>
        </w:rPr>
        <w:t>for discussion of this application.</w:t>
      </w:r>
    </w:p>
    <w:p w:rsidR="00F36432" w:rsidRDefault="00F36432" w:rsidP="00F36432">
      <w:pPr>
        <w:rPr>
          <w:u w:val="single"/>
          <w:lang w:val="en-NZ"/>
        </w:rPr>
      </w:pPr>
    </w:p>
    <w:p w:rsidR="00F36432" w:rsidRPr="00FD2B1E" w:rsidRDefault="00F36432" w:rsidP="00F36432">
      <w:pPr>
        <w:rPr>
          <w:u w:val="single"/>
          <w:lang w:val="en-NZ"/>
        </w:rPr>
      </w:pPr>
      <w:r w:rsidRPr="00FD2B1E">
        <w:rPr>
          <w:u w:val="single"/>
          <w:lang w:val="en-NZ"/>
        </w:rPr>
        <w:t>Potential conflicts of interest</w:t>
      </w:r>
    </w:p>
    <w:p w:rsidR="00F36432" w:rsidRPr="008869BB" w:rsidRDefault="00F36432" w:rsidP="00F36432">
      <w:pPr>
        <w:rPr>
          <w:b/>
          <w:lang w:val="en-NZ"/>
        </w:rPr>
      </w:pPr>
    </w:p>
    <w:p w:rsidR="00F36432" w:rsidRPr="00960BFE" w:rsidRDefault="00F36432" w:rsidP="00F36432">
      <w:pPr>
        <w:rPr>
          <w:lang w:val="en-NZ"/>
        </w:rPr>
      </w:pPr>
      <w:r w:rsidRPr="00960BFE">
        <w:rPr>
          <w:lang w:val="en-NZ"/>
        </w:rPr>
        <w:t>The Chair asked members to declare any potential conflicts of interest related to this application.</w:t>
      </w:r>
    </w:p>
    <w:p w:rsidR="00F36432" w:rsidRPr="00960BFE" w:rsidRDefault="00F36432" w:rsidP="00F36432">
      <w:pPr>
        <w:rPr>
          <w:lang w:val="en-NZ"/>
        </w:rPr>
      </w:pPr>
    </w:p>
    <w:p w:rsidR="00F36432" w:rsidRDefault="00F36432" w:rsidP="00F36432">
      <w:pPr>
        <w:rPr>
          <w:lang w:val="en-NZ"/>
        </w:rPr>
      </w:pPr>
      <w:r w:rsidRPr="00FD2B1E">
        <w:rPr>
          <w:lang w:val="en-NZ"/>
        </w:rPr>
        <w:t>No potential conflicts</w:t>
      </w:r>
      <w:r w:rsidRPr="00960BFE">
        <w:rPr>
          <w:lang w:val="en-NZ"/>
        </w:rPr>
        <w:t xml:space="preserve"> of interest related to this application were declared by any member.</w:t>
      </w:r>
    </w:p>
    <w:p w:rsidR="00F36432" w:rsidRPr="00960BFE" w:rsidRDefault="00F36432" w:rsidP="00F36432">
      <w:pPr>
        <w:rPr>
          <w:lang w:val="en-NZ"/>
        </w:rPr>
      </w:pPr>
    </w:p>
    <w:p w:rsidR="00F36432" w:rsidRDefault="00F36432" w:rsidP="00F36432">
      <w:pPr>
        <w:rPr>
          <w:u w:val="single"/>
          <w:lang w:val="en-NZ"/>
        </w:rPr>
      </w:pPr>
      <w:r w:rsidRPr="001C059D">
        <w:rPr>
          <w:u w:val="single"/>
          <w:lang w:val="en-NZ"/>
        </w:rPr>
        <w:t>Summary of Study</w:t>
      </w:r>
    </w:p>
    <w:p w:rsidR="00F36432" w:rsidRDefault="00F36432" w:rsidP="00F36432">
      <w:pPr>
        <w:rPr>
          <w:u w:val="single"/>
          <w:lang w:val="en-NZ"/>
        </w:rPr>
      </w:pPr>
    </w:p>
    <w:p w:rsidR="00504A7B" w:rsidRDefault="00504A7B" w:rsidP="00AB6059">
      <w:pPr>
        <w:pStyle w:val="ListParagraph"/>
        <w:numPr>
          <w:ilvl w:val="0"/>
          <w:numId w:val="4"/>
        </w:numPr>
        <w:rPr>
          <w:lang w:val="en-NZ"/>
        </w:rPr>
      </w:pPr>
      <w:r w:rsidRPr="00504A7B">
        <w:rPr>
          <w:lang w:val="en-NZ"/>
        </w:rPr>
        <w:t xml:space="preserve">Iatrogenic skin injury in hospitalised babies is common.  The majority of babies admitted to a </w:t>
      </w:r>
      <w:proofErr w:type="spellStart"/>
      <w:r w:rsidRPr="00504A7B">
        <w:rPr>
          <w:lang w:val="en-NZ"/>
        </w:rPr>
        <w:t>Newborn</w:t>
      </w:r>
      <w:proofErr w:type="spellEnd"/>
      <w:r w:rsidRPr="00504A7B">
        <w:rPr>
          <w:lang w:val="en-NZ"/>
        </w:rPr>
        <w:t xml:space="preserve"> Intensive Care Unit require a peripheral intravenous catheter (PIVC) for fluids, medication and nutrition.  PIVCs (drips) are the most commonly used device in unwell babies, with many babies requiring multiple drips.  PIVCs are secured to the baby’s limb using splints and adhesive dressings.  Removing the adhesive dressing (</w:t>
      </w:r>
      <w:proofErr w:type="spellStart"/>
      <w:r w:rsidRPr="00504A7B">
        <w:rPr>
          <w:lang w:val="en-NZ"/>
        </w:rPr>
        <w:t>elastoplast</w:t>
      </w:r>
      <w:proofErr w:type="spellEnd"/>
      <w:r w:rsidRPr="00504A7B">
        <w:rPr>
          <w:lang w:val="en-NZ"/>
        </w:rPr>
        <w:t xml:space="preserve">) frequently tears the fragile skin, causing pain, increasing the risk of infection and lasting skin damage.  </w:t>
      </w:r>
    </w:p>
    <w:p w:rsidR="004E4602" w:rsidRPr="00504A7B" w:rsidRDefault="004E4602" w:rsidP="004E4602">
      <w:pPr>
        <w:pStyle w:val="ListParagraph"/>
        <w:rPr>
          <w:lang w:val="en-NZ"/>
        </w:rPr>
      </w:pPr>
    </w:p>
    <w:p w:rsidR="00504A7B" w:rsidRPr="00504A7B" w:rsidRDefault="00504A7B" w:rsidP="00AB6059">
      <w:pPr>
        <w:pStyle w:val="ListParagraph"/>
        <w:numPr>
          <w:ilvl w:val="0"/>
          <w:numId w:val="4"/>
        </w:numPr>
        <w:rPr>
          <w:lang w:val="en-NZ"/>
        </w:rPr>
      </w:pPr>
      <w:r w:rsidRPr="00504A7B">
        <w:rPr>
          <w:lang w:val="en-NZ"/>
        </w:rPr>
        <w:t xml:space="preserve">Following a traumatic evident to a </w:t>
      </w:r>
      <w:proofErr w:type="spellStart"/>
      <w:r w:rsidRPr="00504A7B">
        <w:rPr>
          <w:lang w:val="en-NZ"/>
        </w:rPr>
        <w:t>newborn</w:t>
      </w:r>
      <w:proofErr w:type="spellEnd"/>
      <w:r w:rsidRPr="00504A7B">
        <w:rPr>
          <w:lang w:val="en-NZ"/>
        </w:rPr>
        <w:t xml:space="preserve"> we sought to design a product which was more </w:t>
      </w:r>
      <w:proofErr w:type="spellStart"/>
      <w:r w:rsidRPr="00504A7B">
        <w:rPr>
          <w:lang w:val="en-NZ"/>
        </w:rPr>
        <w:t>situable</w:t>
      </w:r>
      <w:proofErr w:type="spellEnd"/>
      <w:r w:rsidRPr="00504A7B">
        <w:rPr>
          <w:lang w:val="en-NZ"/>
        </w:rPr>
        <w:t xml:space="preserve"> for babies.  The </w:t>
      </w:r>
      <w:proofErr w:type="spellStart"/>
      <w:r w:rsidRPr="00504A7B">
        <w:rPr>
          <w:lang w:val="en-NZ"/>
        </w:rPr>
        <w:t>Pēpi</w:t>
      </w:r>
      <w:proofErr w:type="spellEnd"/>
      <w:r w:rsidRPr="00504A7B">
        <w:rPr>
          <w:lang w:val="en-NZ"/>
        </w:rPr>
        <w:t xml:space="preserve"> Splint is made from medical silicone. It will secure the drip to the baby without the need for adhesive dressings to be applied to the baby’s skin.</w:t>
      </w:r>
    </w:p>
    <w:p w:rsidR="00504A7B" w:rsidRPr="00504A7B" w:rsidRDefault="00504A7B" w:rsidP="004E4602">
      <w:pPr>
        <w:pStyle w:val="ListParagraph"/>
        <w:rPr>
          <w:lang w:val="en-NZ"/>
        </w:rPr>
      </w:pPr>
    </w:p>
    <w:p w:rsidR="00504A7B" w:rsidRPr="00504A7B" w:rsidRDefault="004E4602" w:rsidP="00AB6059">
      <w:pPr>
        <w:pStyle w:val="ListParagraph"/>
        <w:numPr>
          <w:ilvl w:val="0"/>
          <w:numId w:val="4"/>
        </w:numPr>
        <w:rPr>
          <w:lang w:val="en-NZ"/>
        </w:rPr>
      </w:pPr>
      <w:r>
        <w:rPr>
          <w:lang w:val="en-NZ"/>
        </w:rPr>
        <w:t>The Researchers</w:t>
      </w:r>
      <w:r w:rsidR="00504A7B" w:rsidRPr="00504A7B">
        <w:rPr>
          <w:lang w:val="en-NZ"/>
        </w:rPr>
        <w:t xml:space="preserve"> are proposing a proof-of-concept pilot study to determine the effectiveness and acceptability of the </w:t>
      </w:r>
      <w:proofErr w:type="spellStart"/>
      <w:r w:rsidR="00504A7B" w:rsidRPr="00504A7B">
        <w:rPr>
          <w:lang w:val="en-NZ"/>
        </w:rPr>
        <w:t>Pēpi</w:t>
      </w:r>
      <w:proofErr w:type="spellEnd"/>
      <w:r w:rsidR="00504A7B" w:rsidRPr="00504A7B">
        <w:rPr>
          <w:lang w:val="en-NZ"/>
        </w:rPr>
        <w:t xml:space="preserve"> Splint in 30 hospitalised </w:t>
      </w:r>
      <w:proofErr w:type="spellStart"/>
      <w:r w:rsidR="00504A7B" w:rsidRPr="00504A7B">
        <w:rPr>
          <w:lang w:val="en-NZ"/>
        </w:rPr>
        <w:t>newborn</w:t>
      </w:r>
      <w:proofErr w:type="spellEnd"/>
      <w:r w:rsidR="00504A7B" w:rsidRPr="00504A7B">
        <w:rPr>
          <w:lang w:val="en-NZ"/>
        </w:rPr>
        <w:t xml:space="preserve"> babies at Wellington </w:t>
      </w:r>
      <w:proofErr w:type="spellStart"/>
      <w:r w:rsidR="00504A7B" w:rsidRPr="00504A7B">
        <w:rPr>
          <w:lang w:val="en-NZ"/>
        </w:rPr>
        <w:t>Newborn</w:t>
      </w:r>
      <w:proofErr w:type="spellEnd"/>
      <w:r w:rsidR="00504A7B" w:rsidRPr="00504A7B">
        <w:rPr>
          <w:lang w:val="en-NZ"/>
        </w:rPr>
        <w:t xml:space="preserve"> Intensive Care Unit.  If the </w:t>
      </w:r>
      <w:proofErr w:type="spellStart"/>
      <w:r w:rsidR="00504A7B" w:rsidRPr="00504A7B">
        <w:rPr>
          <w:lang w:val="en-NZ"/>
        </w:rPr>
        <w:t>Pēpi</w:t>
      </w:r>
      <w:proofErr w:type="spellEnd"/>
      <w:r w:rsidR="00504A7B" w:rsidRPr="00504A7B">
        <w:rPr>
          <w:lang w:val="en-NZ"/>
        </w:rPr>
        <w:t xml:space="preserve"> Splint is found to be effective, we will proceed to a randomised controlled trial.  It is possible that the we will be able to considerably reduce the incidence of skin injuries in medically fragile babies. </w:t>
      </w:r>
    </w:p>
    <w:p w:rsidR="00504A7B" w:rsidRPr="00504A7B" w:rsidRDefault="00504A7B" w:rsidP="004E4602">
      <w:pPr>
        <w:pStyle w:val="ListParagraph"/>
        <w:rPr>
          <w:lang w:val="en-NZ"/>
        </w:rPr>
      </w:pPr>
    </w:p>
    <w:p w:rsidR="00F36432" w:rsidRPr="003056DC" w:rsidRDefault="004E4602" w:rsidP="00AB6059">
      <w:pPr>
        <w:pStyle w:val="ListParagraph"/>
        <w:numPr>
          <w:ilvl w:val="0"/>
          <w:numId w:val="4"/>
        </w:numPr>
        <w:rPr>
          <w:u w:val="single"/>
          <w:lang w:val="en-NZ"/>
        </w:rPr>
      </w:pPr>
      <w:r>
        <w:rPr>
          <w:lang w:val="en-NZ"/>
        </w:rPr>
        <w:t>The Researchers</w:t>
      </w:r>
      <w:r w:rsidR="00504A7B" w:rsidRPr="00504A7B">
        <w:rPr>
          <w:lang w:val="en-NZ"/>
        </w:rPr>
        <w:t xml:space="preserve"> propose a step-wise investigation. The first phase is proof-of-concept pilot to determine the effectiveness and acceptability of the </w:t>
      </w:r>
      <w:proofErr w:type="spellStart"/>
      <w:r w:rsidR="00504A7B" w:rsidRPr="00504A7B">
        <w:rPr>
          <w:lang w:val="en-NZ"/>
        </w:rPr>
        <w:t>Pēpi</w:t>
      </w:r>
      <w:proofErr w:type="spellEnd"/>
      <w:r w:rsidR="00504A7B" w:rsidRPr="00504A7B">
        <w:rPr>
          <w:lang w:val="en-NZ"/>
        </w:rPr>
        <w:t xml:space="preserve"> Split.  We will recruit 30 </w:t>
      </w:r>
      <w:proofErr w:type="spellStart"/>
      <w:r w:rsidR="00504A7B" w:rsidRPr="00504A7B">
        <w:rPr>
          <w:lang w:val="en-NZ"/>
        </w:rPr>
        <w:t>newborn</w:t>
      </w:r>
      <w:proofErr w:type="spellEnd"/>
      <w:r w:rsidR="00504A7B" w:rsidRPr="00504A7B">
        <w:rPr>
          <w:lang w:val="en-NZ"/>
        </w:rPr>
        <w:t xml:space="preserve"> babies &gt; 1000g who will require a drip as part of routine treatment in the Wellington Regional </w:t>
      </w:r>
      <w:proofErr w:type="spellStart"/>
      <w:r w:rsidR="00504A7B" w:rsidRPr="00504A7B">
        <w:rPr>
          <w:lang w:val="en-NZ"/>
        </w:rPr>
        <w:t>Newborn</w:t>
      </w:r>
      <w:proofErr w:type="spellEnd"/>
      <w:r w:rsidR="00504A7B" w:rsidRPr="00504A7B">
        <w:rPr>
          <w:lang w:val="en-NZ"/>
        </w:rPr>
        <w:t xml:space="preserve"> Intensive Care Unit.  Babies enrolled in the study will be cared for in the same way as those not in the study, with the addition of the </w:t>
      </w:r>
      <w:proofErr w:type="spellStart"/>
      <w:r w:rsidR="00504A7B" w:rsidRPr="00504A7B">
        <w:rPr>
          <w:lang w:val="en-NZ"/>
        </w:rPr>
        <w:t>Pēpi</w:t>
      </w:r>
      <w:proofErr w:type="spellEnd"/>
      <w:r w:rsidR="00504A7B" w:rsidRPr="00504A7B">
        <w:rPr>
          <w:lang w:val="en-NZ"/>
        </w:rPr>
        <w:t xml:space="preserve"> Splint.</w:t>
      </w:r>
    </w:p>
    <w:p w:rsidR="00F36432" w:rsidRPr="00781421" w:rsidRDefault="00F36432" w:rsidP="004E4602">
      <w:pPr>
        <w:pStyle w:val="ListParagraph"/>
        <w:rPr>
          <w:u w:val="single"/>
          <w:lang w:val="en-NZ"/>
        </w:rPr>
      </w:pPr>
    </w:p>
    <w:p w:rsidR="00F36432" w:rsidRDefault="00F36432" w:rsidP="00F36432">
      <w:pPr>
        <w:autoSpaceDE w:val="0"/>
        <w:autoSpaceDN w:val="0"/>
        <w:adjustRightInd w:val="0"/>
        <w:rPr>
          <w:lang w:val="en-NZ"/>
        </w:rPr>
      </w:pPr>
    </w:p>
    <w:p w:rsidR="00F36432" w:rsidRDefault="00F36432" w:rsidP="00F36432">
      <w:pPr>
        <w:rPr>
          <w:u w:val="single"/>
          <w:lang w:val="en-NZ"/>
        </w:rPr>
      </w:pPr>
      <w:bookmarkStart w:id="1" w:name="_Hlk31958841"/>
      <w:r w:rsidRPr="001C059D">
        <w:rPr>
          <w:u w:val="single"/>
          <w:lang w:val="en-NZ"/>
        </w:rPr>
        <w:t>Summary of</w:t>
      </w:r>
      <w:r>
        <w:rPr>
          <w:u w:val="single"/>
          <w:lang w:val="en-NZ"/>
        </w:rPr>
        <w:t xml:space="preserve"> resolved ethical issues </w:t>
      </w:r>
    </w:p>
    <w:p w:rsidR="00F36432" w:rsidRDefault="00F36432" w:rsidP="00F36432">
      <w:pPr>
        <w:rPr>
          <w:u w:val="single"/>
          <w:lang w:val="en-NZ"/>
        </w:rPr>
      </w:pPr>
    </w:p>
    <w:p w:rsidR="00F36432" w:rsidRPr="000A1C67" w:rsidRDefault="00F36432" w:rsidP="00F3643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F36432" w:rsidRDefault="00F36432" w:rsidP="00F36432">
      <w:pPr>
        <w:rPr>
          <w:u w:val="single"/>
          <w:lang w:val="en-NZ"/>
        </w:rPr>
      </w:pPr>
    </w:p>
    <w:bookmarkEnd w:id="1"/>
    <w:p w:rsidR="008C6717" w:rsidRPr="001A3F62" w:rsidRDefault="008C6717" w:rsidP="008C6717">
      <w:pPr>
        <w:pStyle w:val="ListParagraph"/>
        <w:numPr>
          <w:ilvl w:val="0"/>
          <w:numId w:val="4"/>
        </w:numPr>
        <w:rPr>
          <w:rFonts w:cs="Arial"/>
          <w:szCs w:val="22"/>
          <w:lang w:val="en-NZ"/>
        </w:rPr>
      </w:pPr>
      <w:r w:rsidRPr="001A3F62">
        <w:rPr>
          <w:rFonts w:cs="Arial"/>
          <w:szCs w:val="22"/>
          <w:lang w:val="en-NZ"/>
        </w:rPr>
        <w:t xml:space="preserve">The Committee thanked the Researcher for the detailed response to the previous decision letter. </w:t>
      </w:r>
    </w:p>
    <w:p w:rsidR="00F36432" w:rsidRPr="004874CD" w:rsidRDefault="00F36432" w:rsidP="008C6717">
      <w:pPr>
        <w:pStyle w:val="ListParagraph"/>
        <w:spacing w:before="80" w:after="80"/>
        <w:rPr>
          <w:u w:val="single"/>
          <w:lang w:val="en-NZ"/>
        </w:rPr>
      </w:pPr>
    </w:p>
    <w:p w:rsidR="00F36432" w:rsidRPr="00C5052B" w:rsidRDefault="00F36432" w:rsidP="00F36432">
      <w:pPr>
        <w:spacing w:before="80" w:after="80"/>
        <w:rPr>
          <w:u w:val="single"/>
          <w:lang w:val="en-NZ"/>
        </w:rPr>
      </w:pPr>
    </w:p>
    <w:p w:rsidR="00F36432" w:rsidRPr="000A1C67" w:rsidRDefault="00F36432" w:rsidP="00F36432">
      <w:pPr>
        <w:rPr>
          <w:u w:val="single"/>
          <w:lang w:val="en-NZ"/>
        </w:rPr>
      </w:pPr>
      <w:r w:rsidRPr="000A1C67">
        <w:rPr>
          <w:u w:val="single"/>
          <w:lang w:val="en-NZ"/>
        </w:rPr>
        <w:lastRenderedPageBreak/>
        <w:t xml:space="preserve">Summary of </w:t>
      </w:r>
      <w:r>
        <w:rPr>
          <w:u w:val="single"/>
          <w:lang w:val="en-NZ"/>
        </w:rPr>
        <w:t>outstanding ethical issues</w:t>
      </w:r>
    </w:p>
    <w:p w:rsidR="00F36432" w:rsidRDefault="00F36432" w:rsidP="00F36432">
      <w:pPr>
        <w:rPr>
          <w:u w:val="single"/>
          <w:lang w:val="en-NZ"/>
        </w:rPr>
      </w:pPr>
    </w:p>
    <w:p w:rsidR="00F36432" w:rsidRDefault="00F36432" w:rsidP="00F3643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F36432" w:rsidRPr="00960BFE" w:rsidRDefault="00F36432" w:rsidP="00F36432">
      <w:pPr>
        <w:autoSpaceDE w:val="0"/>
        <w:autoSpaceDN w:val="0"/>
        <w:adjustRightInd w:val="0"/>
        <w:rPr>
          <w:lang w:val="en-NZ"/>
        </w:rPr>
      </w:pP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24"/>
        </w:numPr>
        <w:rPr>
          <w:rFonts w:cs="Arial"/>
          <w:szCs w:val="22"/>
          <w:lang w:val="en-NZ"/>
        </w:rPr>
      </w:pPr>
      <w:r w:rsidRPr="001A3F62">
        <w:rPr>
          <w:rFonts w:cs="Arial"/>
          <w:szCs w:val="22"/>
          <w:lang w:val="en-NZ"/>
        </w:rPr>
        <w:t xml:space="preserve">The Committee noted it was unclear from the information in the PIS whether the baby was the only participant or whether the parents would be participants too. The Researcher explained the baby was the primarily participant, but the parent would be asked to complete a questionnaire. The Researcher stated the primary outcome of the study is whether the splint is useful. The Committee requested a clarification to the PIS to explain this. </w:t>
      </w: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24"/>
        </w:numPr>
        <w:rPr>
          <w:rFonts w:cs="Arial"/>
          <w:szCs w:val="22"/>
          <w:lang w:val="en-NZ"/>
        </w:rPr>
      </w:pPr>
      <w:r w:rsidRPr="001A3F62">
        <w:rPr>
          <w:rFonts w:cs="Arial"/>
          <w:szCs w:val="22"/>
          <w:lang w:val="en-NZ"/>
        </w:rPr>
        <w:t xml:space="preserve">The Committee requested a revision of the PIS compensation information to refer to both the baby and parent. </w:t>
      </w: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24"/>
        </w:numPr>
        <w:rPr>
          <w:rFonts w:cs="Arial"/>
          <w:szCs w:val="22"/>
          <w:lang w:val="en-NZ"/>
        </w:rPr>
      </w:pPr>
      <w:r w:rsidRPr="001A3F62">
        <w:rPr>
          <w:rFonts w:cs="Arial"/>
          <w:szCs w:val="22"/>
          <w:lang w:val="en-NZ"/>
        </w:rPr>
        <w:t>The Committee requested information explaining who will have access to study data.</w:t>
      </w:r>
    </w:p>
    <w:p w:rsidR="001A3F62" w:rsidRPr="001A3F62" w:rsidRDefault="001A3F62" w:rsidP="001A3F62">
      <w:pPr>
        <w:pStyle w:val="ListParagraph"/>
        <w:ind w:left="0"/>
        <w:rPr>
          <w:rFonts w:cs="Arial"/>
          <w:szCs w:val="22"/>
          <w:lang w:val="en-NZ"/>
        </w:rPr>
      </w:pPr>
    </w:p>
    <w:p w:rsidR="001A3F62" w:rsidRPr="008C6717" w:rsidRDefault="001A3F62" w:rsidP="001A3F62">
      <w:pPr>
        <w:pStyle w:val="ListParagraph"/>
        <w:numPr>
          <w:ilvl w:val="0"/>
          <w:numId w:val="24"/>
        </w:numPr>
        <w:rPr>
          <w:rFonts w:cs="Arial"/>
          <w:szCs w:val="22"/>
          <w:lang w:val="en-NZ"/>
        </w:rPr>
      </w:pPr>
      <w:r w:rsidRPr="008C6717">
        <w:rPr>
          <w:rFonts w:cs="Arial"/>
          <w:szCs w:val="22"/>
          <w:lang w:val="en-NZ"/>
        </w:rPr>
        <w:t>The Committee requested the inclusion of advocacy details (</w:t>
      </w:r>
      <w:hyperlink r:id="rId8" w:history="1">
        <w:r w:rsidR="008C6717" w:rsidRPr="008C6717">
          <w:rPr>
            <w:rStyle w:val="Hyperlink"/>
            <w:rFonts w:cs="Arial"/>
            <w:szCs w:val="22"/>
            <w:lang w:val="en-NZ"/>
          </w:rPr>
          <w:t>advocacy@advocacy.org</w:t>
        </w:r>
      </w:hyperlink>
      <w:proofErr w:type="gramStart"/>
      <w:r w:rsidR="008C6717" w:rsidRPr="008C6717">
        <w:rPr>
          <w:rFonts w:cs="Arial"/>
          <w:szCs w:val="22"/>
          <w:lang w:val="en-NZ"/>
        </w:rPr>
        <w:t xml:space="preserve">) </w:t>
      </w:r>
      <w:r w:rsidRPr="008C6717">
        <w:rPr>
          <w:rFonts w:cs="Arial"/>
          <w:szCs w:val="22"/>
          <w:lang w:val="en-NZ"/>
        </w:rPr>
        <w:t>)</w:t>
      </w:r>
      <w:proofErr w:type="gramEnd"/>
      <w:r w:rsidRPr="008C6717">
        <w:rPr>
          <w:rFonts w:cs="Arial"/>
          <w:szCs w:val="22"/>
          <w:lang w:val="en-NZ"/>
        </w:rPr>
        <w:t xml:space="preserve"> and appropriate Māori health contact to the PIS. </w:t>
      </w: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24"/>
        </w:numPr>
        <w:rPr>
          <w:rFonts w:cs="Arial"/>
          <w:szCs w:val="22"/>
          <w:lang w:val="en-NZ"/>
        </w:rPr>
      </w:pPr>
      <w:r w:rsidRPr="001A3F62">
        <w:rPr>
          <w:rFonts w:cs="Arial"/>
          <w:szCs w:val="22"/>
          <w:lang w:val="en-NZ"/>
        </w:rPr>
        <w:t xml:space="preserve">The Committee requested the inclusion of information explaining all potential risks to the PIS. </w:t>
      </w: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24"/>
        </w:numPr>
        <w:rPr>
          <w:rFonts w:cs="Arial"/>
          <w:szCs w:val="22"/>
          <w:lang w:val="en-NZ"/>
        </w:rPr>
      </w:pPr>
      <w:r w:rsidRPr="001A3F62">
        <w:rPr>
          <w:rFonts w:cs="Arial"/>
          <w:szCs w:val="22"/>
          <w:lang w:val="en-NZ"/>
        </w:rPr>
        <w:t xml:space="preserve">The Committee suggested separating the pictures into a brochure to introduce the study and keeping the PIS simple. </w:t>
      </w: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24"/>
        </w:numPr>
        <w:rPr>
          <w:rFonts w:cs="Arial"/>
          <w:szCs w:val="22"/>
          <w:lang w:val="en-NZ"/>
        </w:rPr>
      </w:pPr>
      <w:r w:rsidRPr="001A3F62">
        <w:rPr>
          <w:rFonts w:cs="Arial"/>
          <w:szCs w:val="22"/>
          <w:lang w:val="en-NZ"/>
        </w:rPr>
        <w:t xml:space="preserve">The Committee queried the statement about understanding a doctor will look at medical records. The Committee queried whether this would be the baby’s records only or the parent as well. The Researcher stated only the baby’s records would be accessed. The Committee requested this be clarified. </w:t>
      </w:r>
    </w:p>
    <w:p w:rsidR="001A3F62" w:rsidRPr="001A3F62" w:rsidRDefault="001A3F62" w:rsidP="001A3F62">
      <w:pPr>
        <w:pStyle w:val="ListParagraph"/>
        <w:ind w:left="0"/>
        <w:rPr>
          <w:rFonts w:cs="Arial"/>
          <w:szCs w:val="22"/>
          <w:lang w:val="en-NZ"/>
        </w:rPr>
      </w:pPr>
    </w:p>
    <w:p w:rsidR="00F36432" w:rsidRDefault="001A3F62" w:rsidP="008C6717">
      <w:pPr>
        <w:pStyle w:val="ListParagraph"/>
        <w:numPr>
          <w:ilvl w:val="0"/>
          <w:numId w:val="24"/>
        </w:numPr>
        <w:rPr>
          <w:rFonts w:cs="Arial"/>
          <w:szCs w:val="22"/>
          <w:lang w:val="en-NZ"/>
        </w:rPr>
      </w:pPr>
      <w:r w:rsidRPr="001A3F62">
        <w:rPr>
          <w:rFonts w:cs="Arial"/>
          <w:szCs w:val="22"/>
          <w:lang w:val="en-NZ"/>
        </w:rPr>
        <w:t>The Committee noted the wording that participants can request their baby’s data back at any time by contacting staff is quite loose. The Committee explained that parents have the right to access and correct information held about themselves and their baby. The Committee recommended the Researcher adapt the wording on the HDEC PIS template to explain this.</w:t>
      </w:r>
    </w:p>
    <w:p w:rsidR="008C6717" w:rsidRPr="008C6717" w:rsidRDefault="008C6717" w:rsidP="008C6717">
      <w:pPr>
        <w:pStyle w:val="ListParagraph"/>
        <w:ind w:left="0"/>
        <w:rPr>
          <w:rFonts w:cs="Arial"/>
          <w:szCs w:val="22"/>
          <w:lang w:val="en-NZ"/>
        </w:rPr>
      </w:pPr>
    </w:p>
    <w:p w:rsidR="00F36432" w:rsidRPr="00FD2B1E" w:rsidRDefault="00F36432" w:rsidP="00F36432">
      <w:pPr>
        <w:rPr>
          <w:u w:val="single"/>
          <w:lang w:val="en-NZ"/>
        </w:rPr>
      </w:pPr>
      <w:r w:rsidRPr="00FD2B1E">
        <w:rPr>
          <w:u w:val="single"/>
          <w:lang w:val="en-NZ"/>
        </w:rPr>
        <w:t xml:space="preserve">Decision </w:t>
      </w:r>
    </w:p>
    <w:p w:rsidR="00F36432" w:rsidRPr="008C6717" w:rsidRDefault="00F36432" w:rsidP="00F36432">
      <w:pPr>
        <w:rPr>
          <w:lang w:val="en-NZ"/>
        </w:rPr>
      </w:pPr>
    </w:p>
    <w:p w:rsidR="00F36432" w:rsidRPr="008C6717" w:rsidRDefault="00F36432" w:rsidP="00F36432">
      <w:pPr>
        <w:rPr>
          <w:lang w:val="en-NZ"/>
        </w:rPr>
      </w:pPr>
    </w:p>
    <w:p w:rsidR="00F36432" w:rsidRPr="008C6717" w:rsidRDefault="00F36432" w:rsidP="00F36432">
      <w:pPr>
        <w:rPr>
          <w:lang w:val="en-NZ"/>
        </w:rPr>
      </w:pPr>
      <w:bookmarkStart w:id="2" w:name="_Hlk31959024"/>
      <w:bookmarkStart w:id="3" w:name="_Hlk31958088"/>
      <w:r w:rsidRPr="008C6717">
        <w:rPr>
          <w:lang w:val="en-NZ"/>
        </w:rPr>
        <w:t xml:space="preserve">This application was </w:t>
      </w:r>
      <w:r w:rsidRPr="008C6717">
        <w:rPr>
          <w:i/>
          <w:lang w:val="en-NZ"/>
        </w:rPr>
        <w:t>provisionally approved</w:t>
      </w:r>
      <w:r w:rsidRPr="008C6717">
        <w:rPr>
          <w:lang w:val="en-NZ"/>
        </w:rPr>
        <w:t xml:space="preserve"> by </w:t>
      </w:r>
      <w:r w:rsidRPr="008C6717">
        <w:rPr>
          <w:rFonts w:cs="Arial"/>
          <w:szCs w:val="22"/>
          <w:lang w:val="en-NZ"/>
        </w:rPr>
        <w:t>consensus</w:t>
      </w:r>
      <w:r w:rsidRPr="008C6717">
        <w:rPr>
          <w:lang w:val="en-NZ"/>
        </w:rPr>
        <w:t>, subject to the following information being received:</w:t>
      </w:r>
    </w:p>
    <w:p w:rsidR="00F36432" w:rsidRPr="00960BFE" w:rsidRDefault="00F36432" w:rsidP="00F36432">
      <w:pPr>
        <w:rPr>
          <w:lang w:val="en-NZ"/>
        </w:rPr>
      </w:pPr>
    </w:p>
    <w:p w:rsidR="00F36432" w:rsidRPr="00960BFE" w:rsidRDefault="00F36432" w:rsidP="00F36432">
      <w:pPr>
        <w:rPr>
          <w:lang w:val="en-NZ"/>
        </w:rPr>
      </w:pPr>
    </w:p>
    <w:bookmarkEnd w:id="2"/>
    <w:p w:rsidR="008C6717" w:rsidRPr="006342E1" w:rsidRDefault="008C6717" w:rsidP="008C6717">
      <w:pPr>
        <w:numPr>
          <w:ilvl w:val="0"/>
          <w:numId w:val="5"/>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rsidR="00F36432" w:rsidRPr="00960BFE" w:rsidRDefault="00F36432" w:rsidP="00F36432">
      <w:pPr>
        <w:rPr>
          <w:color w:val="FF0000"/>
          <w:lang w:val="en-NZ"/>
        </w:rPr>
      </w:pPr>
    </w:p>
    <w:p w:rsidR="00F36432" w:rsidRPr="00FD2B1E" w:rsidRDefault="00F36432" w:rsidP="00F36432">
      <w:pPr>
        <w:rPr>
          <w:lang w:val="en-NZ"/>
        </w:rPr>
      </w:pPr>
      <w:bookmarkStart w:id="4" w:name="_Hlk31965243"/>
      <w:r w:rsidRPr="002E7A84">
        <w:rPr>
          <w:lang w:val="en-NZ"/>
        </w:rPr>
        <w:t>After receipt of the information requested by the Committee</w:t>
      </w:r>
      <w:r w:rsidRPr="001A3F62">
        <w:rPr>
          <w:lang w:val="en-NZ"/>
        </w:rPr>
        <w:t>, a final decision on the application will be made by</w:t>
      </w:r>
      <w:r w:rsidR="001A3F62" w:rsidRPr="001A3F62">
        <w:rPr>
          <w:rFonts w:cs="Arial"/>
          <w:szCs w:val="22"/>
          <w:lang w:val="en-NZ"/>
        </w:rPr>
        <w:t xml:space="preserve"> Ms Helen Davidson and Dr Peter Gallagher. </w:t>
      </w:r>
    </w:p>
    <w:bookmarkEnd w:id="3"/>
    <w:bookmarkEnd w:id="4"/>
    <w:p w:rsidR="00F36432" w:rsidRPr="00960BFE" w:rsidRDefault="00F36432" w:rsidP="00F36432">
      <w:pPr>
        <w:rPr>
          <w:color w:val="FF0000"/>
          <w:lang w:val="en-NZ"/>
        </w:rPr>
      </w:pPr>
    </w:p>
    <w:p w:rsidR="00AD4140" w:rsidRDefault="00AD4140" w:rsidP="00AD4140">
      <w:pPr>
        <w:pStyle w:val="ListParagraph"/>
        <w:rPr>
          <w:rFonts w:cs="Arial"/>
          <w:color w:val="33CCCC"/>
          <w:szCs w:val="22"/>
          <w:lang w:val="en-NZ"/>
        </w:rPr>
      </w:pPr>
      <w:bookmarkStart w:id="5" w:name="_Hlk31960166"/>
    </w:p>
    <w:p w:rsidR="00AD4140" w:rsidRDefault="00AD4140" w:rsidP="00AD4140">
      <w:pPr>
        <w:pStyle w:val="ListParagraph"/>
        <w:rPr>
          <w:rFonts w:cs="Arial"/>
          <w:color w:val="33CCCC"/>
          <w:szCs w:val="22"/>
          <w:lang w:val="en-NZ"/>
        </w:rPr>
      </w:pPr>
    </w:p>
    <w:p w:rsidR="00AD4140" w:rsidRDefault="00AD4140" w:rsidP="00AD4140">
      <w:pPr>
        <w:pStyle w:val="ListParagraph"/>
        <w:rPr>
          <w:rFonts w:cs="Arial"/>
          <w:color w:val="33CCCC"/>
          <w:szCs w:val="22"/>
          <w:lang w:val="en-NZ"/>
        </w:rPr>
      </w:pPr>
    </w:p>
    <w:p w:rsidR="00C61CCD" w:rsidRDefault="00C61CCD" w:rsidP="00AD4140">
      <w:pPr>
        <w:pStyle w:val="ListParagraph"/>
        <w:ind w:left="0"/>
        <w:rPr>
          <w:rFonts w:cs="Arial"/>
          <w:color w:val="33CCCC"/>
          <w:szCs w:val="22"/>
          <w:lang w:val="en-NZ"/>
        </w:rPr>
      </w:pPr>
    </w:p>
    <w:p w:rsidR="007A37A4" w:rsidRPr="004549E5" w:rsidRDefault="007A37A4" w:rsidP="00AD4140">
      <w:pPr>
        <w:pStyle w:val="ListParagraph"/>
        <w:ind w:left="0"/>
        <w:rPr>
          <w:rFonts w:cs="Arial"/>
          <w:color w:val="33CCCC"/>
          <w:szCs w:val="22"/>
          <w:lang w:val="en-NZ"/>
        </w:rPr>
      </w:pPr>
    </w:p>
    <w:bookmarkEnd w:id="5"/>
    <w:p w:rsidR="00F36432" w:rsidRDefault="00F36432" w:rsidP="00F36432">
      <w:pPr>
        <w:spacing w:before="80" w:after="80"/>
      </w:pPr>
    </w:p>
    <w:p w:rsidR="00F36432" w:rsidRPr="00960BFE" w:rsidRDefault="00F36432" w:rsidP="001B1AB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rPr>
                <w:b/>
              </w:rPr>
              <w:t>20/CEN/50</w:t>
            </w:r>
            <w:r w:rsidRPr="00960BFE">
              <w:t xml:space="preserv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Title: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COG AALL1732 HR-B-ALL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Principal Investigator: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Dr Siobhan Cross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Sponsor: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Children's Oncology Group (COG) </w:t>
            </w:r>
          </w:p>
        </w:tc>
        <w:tc>
          <w:tcPr>
            <w:tcW w:w="360" w:type="dxa"/>
          </w:tcPr>
          <w:p w:rsidR="00F36432" w:rsidRPr="00960BFE" w:rsidRDefault="00F36432">
            <w:r w:rsidRPr="00960BFE">
              <w:t xml:space="preserve"> </w:t>
            </w:r>
          </w:p>
        </w:tc>
      </w:tr>
      <w:tr w:rsidR="00F36432" w:rsidRPr="001A3F62">
        <w:trPr>
          <w:trHeight w:val="280"/>
        </w:trPr>
        <w:tc>
          <w:tcPr>
            <w:tcW w:w="966" w:type="dxa"/>
            <w:tcBorders>
              <w:top w:val="nil"/>
              <w:left w:val="nil"/>
              <w:bottom w:val="nil"/>
              <w:right w:val="nil"/>
            </w:tcBorders>
          </w:tcPr>
          <w:p w:rsidR="00F36432" w:rsidRPr="001A3F62" w:rsidRDefault="00F36432" w:rsidP="001B1ABA">
            <w:pPr>
              <w:autoSpaceDE w:val="0"/>
              <w:autoSpaceDN w:val="0"/>
              <w:adjustRightInd w:val="0"/>
            </w:pPr>
            <w:r w:rsidRPr="001A3F62">
              <w:t xml:space="preserve"> </w:t>
            </w:r>
          </w:p>
        </w:tc>
        <w:tc>
          <w:tcPr>
            <w:tcW w:w="2575" w:type="dxa"/>
            <w:tcBorders>
              <w:top w:val="nil"/>
              <w:left w:val="nil"/>
              <w:bottom w:val="nil"/>
              <w:right w:val="nil"/>
            </w:tcBorders>
          </w:tcPr>
          <w:p w:rsidR="00F36432" w:rsidRPr="001A3F62" w:rsidRDefault="00F36432" w:rsidP="001B1ABA">
            <w:pPr>
              <w:autoSpaceDE w:val="0"/>
              <w:autoSpaceDN w:val="0"/>
              <w:adjustRightInd w:val="0"/>
            </w:pPr>
            <w:r w:rsidRPr="001A3F62">
              <w:t xml:space="preserve">Clock Start Date: </w:t>
            </w:r>
          </w:p>
        </w:tc>
        <w:tc>
          <w:tcPr>
            <w:tcW w:w="6459" w:type="dxa"/>
            <w:tcBorders>
              <w:top w:val="nil"/>
              <w:left w:val="nil"/>
              <w:bottom w:val="nil"/>
              <w:right w:val="nil"/>
            </w:tcBorders>
          </w:tcPr>
          <w:p w:rsidR="00F36432" w:rsidRPr="001A3F62" w:rsidRDefault="00F36432" w:rsidP="001B1ABA">
            <w:pPr>
              <w:autoSpaceDE w:val="0"/>
              <w:autoSpaceDN w:val="0"/>
              <w:adjustRightInd w:val="0"/>
            </w:pPr>
            <w:r w:rsidRPr="001A3F62">
              <w:t xml:space="preserve">12 March 2020 </w:t>
            </w:r>
          </w:p>
        </w:tc>
        <w:tc>
          <w:tcPr>
            <w:tcW w:w="360" w:type="dxa"/>
          </w:tcPr>
          <w:p w:rsidR="00F36432" w:rsidRPr="001A3F62" w:rsidRDefault="00F36432">
            <w:r w:rsidRPr="001A3F62">
              <w:t xml:space="preserve"> </w:t>
            </w:r>
          </w:p>
        </w:tc>
      </w:tr>
    </w:tbl>
    <w:p w:rsidR="00F36432" w:rsidRPr="001A3F62" w:rsidRDefault="00F36432" w:rsidP="001B1ABA">
      <w:pPr>
        <w:autoSpaceDE w:val="0"/>
        <w:autoSpaceDN w:val="0"/>
        <w:adjustRightInd w:val="0"/>
      </w:pPr>
      <w:r w:rsidRPr="001A3F62">
        <w:t xml:space="preserve"> </w:t>
      </w:r>
    </w:p>
    <w:p w:rsidR="00F36432" w:rsidRPr="001A3F62" w:rsidRDefault="00BF338D" w:rsidP="00F36432">
      <w:pPr>
        <w:autoSpaceDE w:val="0"/>
        <w:autoSpaceDN w:val="0"/>
        <w:adjustRightInd w:val="0"/>
        <w:rPr>
          <w:sz w:val="20"/>
          <w:lang w:val="en-NZ"/>
        </w:rPr>
      </w:pPr>
      <w:r w:rsidRPr="001A3F62">
        <w:rPr>
          <w:rFonts w:cs="Arial"/>
          <w:szCs w:val="22"/>
          <w:lang w:val="en-NZ"/>
        </w:rPr>
        <w:t>Ms Sara Parkin</w:t>
      </w:r>
      <w:r w:rsidR="00F36432" w:rsidRPr="001A3F62">
        <w:rPr>
          <w:lang w:val="en-NZ"/>
        </w:rPr>
        <w:t xml:space="preserve"> was present </w:t>
      </w:r>
      <w:r w:rsidR="00F36432" w:rsidRPr="001A3F62">
        <w:rPr>
          <w:rFonts w:cs="Arial"/>
          <w:szCs w:val="22"/>
          <w:lang w:val="en-NZ"/>
        </w:rPr>
        <w:t>by teleconference</w:t>
      </w:r>
      <w:r w:rsidR="00F36432" w:rsidRPr="001A3F62">
        <w:rPr>
          <w:lang w:val="en-NZ"/>
        </w:rPr>
        <w:t xml:space="preserve"> for discussion of this application.</w:t>
      </w:r>
    </w:p>
    <w:p w:rsidR="00F36432" w:rsidRPr="001A3F62" w:rsidRDefault="00F36432" w:rsidP="00F36432">
      <w:pPr>
        <w:rPr>
          <w:u w:val="single"/>
          <w:lang w:val="en-NZ"/>
        </w:rPr>
      </w:pPr>
    </w:p>
    <w:p w:rsidR="00F36432" w:rsidRPr="001A3F62" w:rsidRDefault="00F36432" w:rsidP="00F36432">
      <w:pPr>
        <w:rPr>
          <w:u w:val="single"/>
          <w:lang w:val="en-NZ"/>
        </w:rPr>
      </w:pPr>
      <w:r w:rsidRPr="001A3F62">
        <w:rPr>
          <w:u w:val="single"/>
          <w:lang w:val="en-NZ"/>
        </w:rPr>
        <w:t>Potential conflicts of interest</w:t>
      </w:r>
    </w:p>
    <w:p w:rsidR="00F36432" w:rsidRPr="001A3F62" w:rsidRDefault="00F36432" w:rsidP="00F36432">
      <w:pPr>
        <w:rPr>
          <w:b/>
          <w:lang w:val="en-NZ"/>
        </w:rPr>
      </w:pPr>
    </w:p>
    <w:p w:rsidR="00F36432" w:rsidRPr="001A3F62" w:rsidRDefault="00F36432" w:rsidP="00F36432">
      <w:pPr>
        <w:rPr>
          <w:lang w:val="en-NZ"/>
        </w:rPr>
      </w:pPr>
      <w:r w:rsidRPr="001A3F62">
        <w:rPr>
          <w:lang w:val="en-NZ"/>
        </w:rPr>
        <w:t>The Chair asked members to declare any potential conflicts of interest related to this application.</w:t>
      </w:r>
    </w:p>
    <w:p w:rsidR="00F36432" w:rsidRPr="001A3F62" w:rsidRDefault="00F36432" w:rsidP="00F36432">
      <w:pPr>
        <w:rPr>
          <w:lang w:val="en-NZ"/>
        </w:rPr>
      </w:pPr>
    </w:p>
    <w:p w:rsidR="00F36432" w:rsidRPr="001A3F62" w:rsidRDefault="00F36432" w:rsidP="00F36432">
      <w:pPr>
        <w:rPr>
          <w:lang w:val="en-NZ"/>
        </w:rPr>
      </w:pPr>
      <w:r w:rsidRPr="001A3F62">
        <w:rPr>
          <w:lang w:val="en-NZ"/>
        </w:rPr>
        <w:t>No potential conflicts of interest related to this application were declared by any member.</w:t>
      </w:r>
    </w:p>
    <w:p w:rsidR="00F36432" w:rsidRPr="001A3F62" w:rsidRDefault="00F36432" w:rsidP="00F36432">
      <w:pPr>
        <w:rPr>
          <w:lang w:val="en-NZ"/>
        </w:rPr>
      </w:pPr>
    </w:p>
    <w:p w:rsidR="007A37A4" w:rsidRPr="00960BFE" w:rsidRDefault="007A37A4" w:rsidP="00F36432">
      <w:pPr>
        <w:rPr>
          <w:lang w:val="en-NZ"/>
        </w:rPr>
      </w:pPr>
    </w:p>
    <w:p w:rsidR="00F36432" w:rsidRDefault="00F36432" w:rsidP="00F36432">
      <w:pPr>
        <w:rPr>
          <w:u w:val="single"/>
          <w:lang w:val="en-NZ"/>
        </w:rPr>
      </w:pPr>
      <w:r w:rsidRPr="001C059D">
        <w:rPr>
          <w:u w:val="single"/>
          <w:lang w:val="en-NZ"/>
        </w:rPr>
        <w:t>Summary of Study</w:t>
      </w:r>
    </w:p>
    <w:p w:rsidR="00F36432" w:rsidRDefault="00F36432" w:rsidP="00F36432">
      <w:pPr>
        <w:rPr>
          <w:u w:val="single"/>
          <w:lang w:val="en-NZ"/>
        </w:rPr>
      </w:pPr>
    </w:p>
    <w:p w:rsidR="001A3F62" w:rsidRDefault="00504A7B" w:rsidP="00AB6059">
      <w:pPr>
        <w:pStyle w:val="ListParagraph"/>
        <w:numPr>
          <w:ilvl w:val="0"/>
          <w:numId w:val="6"/>
        </w:numPr>
        <w:rPr>
          <w:lang w:val="en-NZ"/>
        </w:rPr>
      </w:pPr>
      <w:r w:rsidRPr="00504A7B">
        <w:rPr>
          <w:lang w:val="en-NZ"/>
        </w:rPr>
        <w:t>AALL1732 is a Children’s Oncology Group (COG)</w:t>
      </w:r>
      <w:r w:rsidR="001A3F62">
        <w:rPr>
          <w:lang w:val="en-NZ"/>
        </w:rPr>
        <w:t xml:space="preserve"> </w:t>
      </w:r>
      <w:r w:rsidRPr="00504A7B">
        <w:rPr>
          <w:lang w:val="en-NZ"/>
        </w:rPr>
        <w:t>group-wide, Phase 3 study for patients between the ages of 1 -25 years with newly diagnosed High-Risk B-lymphoblastic leukaemia (HR-B-ALL), mixed phenotype acute leukaemia (MPAL) or disseminated (Murphy stage III or IV) B-lymphoblastic leukaemia (B-</w:t>
      </w:r>
      <w:proofErr w:type="spellStart"/>
      <w:r w:rsidRPr="00504A7B">
        <w:rPr>
          <w:lang w:val="en-NZ"/>
        </w:rPr>
        <w:t>LLy</w:t>
      </w:r>
      <w:proofErr w:type="spellEnd"/>
      <w:r w:rsidRPr="00504A7B">
        <w:rPr>
          <w:lang w:val="en-NZ"/>
        </w:rPr>
        <w:t xml:space="preserve">). Patients in this study with HR B-ALL will be stratified into HR favourable B-ALL (HR-fav) or HR B-ALL and this study will assess whether the incorporation of two blocks of </w:t>
      </w:r>
      <w:proofErr w:type="spellStart"/>
      <w:r w:rsidRPr="00504A7B">
        <w:rPr>
          <w:lang w:val="en-NZ"/>
        </w:rPr>
        <w:t>inotuzumab</w:t>
      </w:r>
      <w:proofErr w:type="spellEnd"/>
      <w:r w:rsidRPr="00504A7B">
        <w:rPr>
          <w:lang w:val="en-NZ"/>
        </w:rPr>
        <w:t xml:space="preserve"> </w:t>
      </w:r>
      <w:proofErr w:type="spellStart"/>
      <w:r w:rsidRPr="00504A7B">
        <w:rPr>
          <w:lang w:val="en-NZ"/>
        </w:rPr>
        <w:t>ozogamacin</w:t>
      </w:r>
      <w:proofErr w:type="spellEnd"/>
      <w:r w:rsidRPr="00504A7B">
        <w:rPr>
          <w:lang w:val="en-NZ"/>
        </w:rPr>
        <w:t xml:space="preserve"> (</w:t>
      </w:r>
      <w:proofErr w:type="spellStart"/>
      <w:r w:rsidRPr="00504A7B">
        <w:rPr>
          <w:lang w:val="en-NZ"/>
        </w:rPr>
        <w:t>InO</w:t>
      </w:r>
      <w:proofErr w:type="spellEnd"/>
      <w:r w:rsidRPr="00504A7B">
        <w:rPr>
          <w:lang w:val="en-NZ"/>
        </w:rPr>
        <w:t>) into a modified Berlin-Frankfurt-Munster (</w:t>
      </w:r>
      <w:proofErr w:type="spellStart"/>
      <w:r w:rsidRPr="00504A7B">
        <w:rPr>
          <w:lang w:val="en-NZ"/>
        </w:rPr>
        <w:t>mBFM</w:t>
      </w:r>
      <w:proofErr w:type="spellEnd"/>
      <w:r w:rsidRPr="00504A7B">
        <w:rPr>
          <w:lang w:val="en-NZ"/>
        </w:rPr>
        <w:t xml:space="preserve">) chemotherapy backbone will improve the </w:t>
      </w:r>
      <w:r w:rsidR="001A3F62" w:rsidRPr="00504A7B">
        <w:rPr>
          <w:lang w:val="en-NZ"/>
        </w:rPr>
        <w:t>disease-free</w:t>
      </w:r>
      <w:r w:rsidRPr="00504A7B">
        <w:rPr>
          <w:lang w:val="en-NZ"/>
        </w:rPr>
        <w:t xml:space="preserve"> survival (DFS) for patients with HR B-ALL.  </w:t>
      </w:r>
    </w:p>
    <w:p w:rsidR="001A3F62" w:rsidRDefault="001A3F62" w:rsidP="001A3F62">
      <w:pPr>
        <w:pStyle w:val="ListParagraph"/>
        <w:rPr>
          <w:lang w:val="en-NZ"/>
        </w:rPr>
      </w:pPr>
    </w:p>
    <w:p w:rsidR="001A3F62" w:rsidRDefault="00504A7B" w:rsidP="00AB6059">
      <w:pPr>
        <w:pStyle w:val="ListParagraph"/>
        <w:numPr>
          <w:ilvl w:val="0"/>
          <w:numId w:val="6"/>
        </w:numPr>
        <w:rPr>
          <w:lang w:val="en-NZ"/>
        </w:rPr>
      </w:pPr>
      <w:r w:rsidRPr="00504A7B">
        <w:rPr>
          <w:lang w:val="en-NZ"/>
        </w:rPr>
        <w:t>There will be no randomisation for other patient groups (HR-Fav, MPAL, and B-</w:t>
      </w:r>
      <w:proofErr w:type="spellStart"/>
      <w:r w:rsidRPr="00504A7B">
        <w:rPr>
          <w:lang w:val="en-NZ"/>
        </w:rPr>
        <w:t>LLy</w:t>
      </w:r>
      <w:proofErr w:type="spellEnd"/>
      <w:r w:rsidRPr="00504A7B">
        <w:rPr>
          <w:lang w:val="en-NZ"/>
        </w:rPr>
        <w:t xml:space="preserve">) who will receive </w:t>
      </w:r>
      <w:proofErr w:type="spellStart"/>
      <w:r w:rsidRPr="00504A7B">
        <w:rPr>
          <w:lang w:val="en-NZ"/>
        </w:rPr>
        <w:t>mBFM</w:t>
      </w:r>
      <w:proofErr w:type="spellEnd"/>
      <w:r w:rsidRPr="00504A7B">
        <w:rPr>
          <w:lang w:val="en-NZ"/>
        </w:rPr>
        <w:t xml:space="preserve"> chemotherapy with one (HR-Fav or two (MPAL and B-</w:t>
      </w:r>
      <w:proofErr w:type="spellStart"/>
      <w:r w:rsidRPr="00504A7B">
        <w:rPr>
          <w:lang w:val="en-NZ"/>
        </w:rPr>
        <w:t>LLy</w:t>
      </w:r>
      <w:proofErr w:type="spellEnd"/>
      <w:r w:rsidRPr="00504A7B">
        <w:rPr>
          <w:lang w:val="en-NZ"/>
        </w:rPr>
        <w:t xml:space="preserve">) </w:t>
      </w:r>
    </w:p>
    <w:p w:rsidR="001A3F62" w:rsidRDefault="001A3F62" w:rsidP="001A3F62">
      <w:pPr>
        <w:pStyle w:val="ListParagraph"/>
        <w:rPr>
          <w:lang w:val="en-NZ"/>
        </w:rPr>
      </w:pPr>
    </w:p>
    <w:p w:rsidR="00504A7B" w:rsidRPr="00504A7B" w:rsidRDefault="00504A7B" w:rsidP="00AB6059">
      <w:pPr>
        <w:pStyle w:val="ListParagraph"/>
        <w:numPr>
          <w:ilvl w:val="0"/>
          <w:numId w:val="6"/>
        </w:numPr>
        <w:rPr>
          <w:lang w:val="en-NZ"/>
        </w:rPr>
      </w:pPr>
      <w:r w:rsidRPr="00504A7B">
        <w:rPr>
          <w:lang w:val="en-NZ"/>
        </w:rPr>
        <w:t>Interim Maintenance (IM-phases) and will have DFS and event-free survival (EFS) described.</w:t>
      </w:r>
    </w:p>
    <w:p w:rsidR="00F36432" w:rsidRPr="00781421" w:rsidRDefault="00F36432" w:rsidP="001A3F62">
      <w:pPr>
        <w:pStyle w:val="ListParagraph"/>
        <w:rPr>
          <w:u w:val="single"/>
          <w:lang w:val="en-NZ"/>
        </w:rPr>
      </w:pPr>
    </w:p>
    <w:p w:rsidR="00F36432" w:rsidRDefault="00F36432" w:rsidP="00F36432">
      <w:pPr>
        <w:autoSpaceDE w:val="0"/>
        <w:autoSpaceDN w:val="0"/>
        <w:adjustRightInd w:val="0"/>
        <w:rPr>
          <w:lang w:val="en-NZ"/>
        </w:rPr>
      </w:pPr>
    </w:p>
    <w:p w:rsidR="00F36432" w:rsidRDefault="00F36432" w:rsidP="00F36432">
      <w:pPr>
        <w:rPr>
          <w:u w:val="single"/>
          <w:lang w:val="en-NZ"/>
        </w:rPr>
      </w:pPr>
      <w:r w:rsidRPr="001C059D">
        <w:rPr>
          <w:u w:val="single"/>
          <w:lang w:val="en-NZ"/>
        </w:rPr>
        <w:t>Summary of</w:t>
      </w:r>
      <w:r>
        <w:rPr>
          <w:u w:val="single"/>
          <w:lang w:val="en-NZ"/>
        </w:rPr>
        <w:t xml:space="preserve"> resolved ethical issues </w:t>
      </w:r>
    </w:p>
    <w:p w:rsidR="00F36432" w:rsidRDefault="00F36432" w:rsidP="00F36432">
      <w:pPr>
        <w:rPr>
          <w:u w:val="single"/>
          <w:lang w:val="en-NZ"/>
        </w:rPr>
      </w:pPr>
    </w:p>
    <w:p w:rsidR="00F36432" w:rsidRPr="000A1C67" w:rsidRDefault="00F36432" w:rsidP="00F3643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F36432" w:rsidRDefault="00F36432" w:rsidP="00F36432">
      <w:pPr>
        <w:rPr>
          <w:u w:val="single"/>
          <w:lang w:val="en-NZ"/>
        </w:rPr>
      </w:pPr>
    </w:p>
    <w:p w:rsidR="001A3F62" w:rsidRPr="001A3F62" w:rsidRDefault="001A3F62" w:rsidP="001A3F62">
      <w:pPr>
        <w:pStyle w:val="ListParagraph"/>
        <w:numPr>
          <w:ilvl w:val="0"/>
          <w:numId w:val="6"/>
        </w:numPr>
        <w:rPr>
          <w:rFonts w:cs="Arial"/>
          <w:szCs w:val="22"/>
          <w:lang w:val="en-NZ"/>
        </w:rPr>
      </w:pPr>
      <w:r w:rsidRPr="001A3F62">
        <w:rPr>
          <w:rFonts w:cs="Arial"/>
          <w:szCs w:val="22"/>
          <w:lang w:val="en-NZ"/>
        </w:rPr>
        <w:t xml:space="preserve">The Committee queried whether this was an investigational drug. The Researcher stated it was a new drug that had recently been registered in New Zealand. The Researcher explained this is the time it will be used in a paediatric population. </w:t>
      </w: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6"/>
        </w:numPr>
        <w:rPr>
          <w:rFonts w:cs="Arial"/>
          <w:szCs w:val="22"/>
          <w:lang w:val="en-NZ"/>
        </w:rPr>
      </w:pPr>
      <w:r w:rsidRPr="001A3F62">
        <w:rPr>
          <w:rFonts w:cs="Arial"/>
          <w:szCs w:val="22"/>
          <w:lang w:val="en-NZ"/>
        </w:rPr>
        <w:t xml:space="preserve">The Committee queried the identifiability of samples being sent overseas. The Researcher stated that samples intended for treatment required some identifiers as a safety mechanism. The Committee requested information to the PIS explaining that some identified samples would go to the United States. The Researcher confirmed any samples not intended for direct treatment would have identifiers removed. </w:t>
      </w:r>
    </w:p>
    <w:p w:rsidR="001A3F62" w:rsidRPr="001A3F62" w:rsidRDefault="001A3F62" w:rsidP="001A3F62">
      <w:pPr>
        <w:pStyle w:val="ListParagraph"/>
        <w:ind w:left="0"/>
        <w:rPr>
          <w:rFonts w:cs="Arial"/>
          <w:szCs w:val="22"/>
          <w:lang w:val="en-NZ"/>
        </w:rPr>
      </w:pPr>
    </w:p>
    <w:p w:rsidR="001A3F62" w:rsidRPr="001A3F62" w:rsidRDefault="001A3F62" w:rsidP="001A3F62">
      <w:pPr>
        <w:pStyle w:val="ListParagraph"/>
        <w:numPr>
          <w:ilvl w:val="0"/>
          <w:numId w:val="6"/>
        </w:numPr>
        <w:rPr>
          <w:rFonts w:cs="Arial"/>
          <w:szCs w:val="22"/>
          <w:lang w:val="en-NZ"/>
        </w:rPr>
      </w:pPr>
      <w:r w:rsidRPr="001A3F62">
        <w:rPr>
          <w:rFonts w:cs="Arial"/>
          <w:szCs w:val="22"/>
          <w:lang w:val="en-NZ"/>
        </w:rPr>
        <w:t xml:space="preserve">The Committee noted the application had indicated adults with intellectual disabilities could be included and queried whether incompetent adults would be recruited. The Researcher confirmed they would not and this was likely an error. The Committee explained that in New Zealand an adult cannot legally provide proxy consent for another adult. </w:t>
      </w:r>
    </w:p>
    <w:p w:rsidR="00F36432" w:rsidRPr="004874CD" w:rsidRDefault="00F36432" w:rsidP="001A3F62">
      <w:pPr>
        <w:pStyle w:val="ListParagraph"/>
        <w:spacing w:before="80" w:after="80"/>
        <w:rPr>
          <w:u w:val="single"/>
          <w:lang w:val="en-NZ"/>
        </w:rPr>
      </w:pPr>
    </w:p>
    <w:p w:rsidR="00F36432" w:rsidRPr="004549E5" w:rsidRDefault="00F36432" w:rsidP="00F36432">
      <w:pPr>
        <w:spacing w:before="80" w:after="80"/>
        <w:rPr>
          <w:rFonts w:cs="Arial"/>
          <w:szCs w:val="22"/>
          <w:lang w:val="en-NZ"/>
        </w:rPr>
      </w:pPr>
    </w:p>
    <w:p w:rsidR="00F36432" w:rsidRDefault="00F36432" w:rsidP="00F3643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F36432" w:rsidRPr="00466AA7" w:rsidRDefault="00F36432" w:rsidP="00F36432">
      <w:pPr>
        <w:spacing w:before="80" w:after="80"/>
        <w:rPr>
          <w:rFonts w:cs="Arial"/>
          <w:szCs w:val="22"/>
          <w:lang w:val="en-NZ"/>
        </w:rPr>
      </w:pPr>
    </w:p>
    <w:p w:rsidR="00F36432" w:rsidRPr="001A3F62" w:rsidRDefault="001A3F62" w:rsidP="00AB6059">
      <w:pPr>
        <w:pStyle w:val="ListParagraph"/>
        <w:numPr>
          <w:ilvl w:val="0"/>
          <w:numId w:val="6"/>
        </w:numPr>
        <w:spacing w:before="80" w:after="80"/>
      </w:pPr>
      <w:r w:rsidRPr="001A3F62">
        <w:rPr>
          <w:rFonts w:cs="Arial"/>
          <w:szCs w:val="22"/>
          <w:lang w:val="en-NZ"/>
        </w:rPr>
        <w:t>The Committee noted the cultural statement was in some of the information sheets but not all. The Committee requested the insertion of the cultural statement into all sheets</w:t>
      </w:r>
    </w:p>
    <w:p w:rsidR="001A3F62" w:rsidRPr="001A3F62" w:rsidRDefault="001A3F62" w:rsidP="001A3F62">
      <w:pPr>
        <w:pStyle w:val="ListParagraph"/>
        <w:spacing w:before="80" w:after="80"/>
      </w:pPr>
    </w:p>
    <w:p w:rsidR="001A3F62" w:rsidRPr="001A3F62" w:rsidRDefault="001A3F62" w:rsidP="001A3F62">
      <w:pPr>
        <w:pStyle w:val="ListParagraph"/>
        <w:numPr>
          <w:ilvl w:val="0"/>
          <w:numId w:val="6"/>
        </w:numPr>
        <w:rPr>
          <w:rFonts w:cs="Arial"/>
          <w:szCs w:val="22"/>
          <w:lang w:val="en-NZ"/>
        </w:rPr>
      </w:pPr>
      <w:r w:rsidRPr="001A3F62">
        <w:rPr>
          <w:rFonts w:cs="Arial"/>
          <w:szCs w:val="22"/>
          <w:lang w:val="en-NZ"/>
        </w:rPr>
        <w:t xml:space="preserve">The Committee requested the removal of the phrase ‘high risk’ from the induction and consolidation section of the PIS. </w:t>
      </w:r>
    </w:p>
    <w:p w:rsidR="001A3F62" w:rsidRPr="001A3F62" w:rsidRDefault="001A3F62" w:rsidP="001A3F62">
      <w:pPr>
        <w:pStyle w:val="ListParagraph"/>
        <w:spacing w:before="80" w:after="80"/>
      </w:pPr>
    </w:p>
    <w:p w:rsidR="001A3F62" w:rsidRPr="00CD03DE" w:rsidRDefault="001A3F62" w:rsidP="001A3F62">
      <w:pPr>
        <w:pStyle w:val="ListParagraph"/>
        <w:spacing w:before="80" w:after="80"/>
        <w:ind w:left="0"/>
      </w:pPr>
    </w:p>
    <w:p w:rsidR="00F36432" w:rsidRDefault="00F36432" w:rsidP="00F36432">
      <w:pPr>
        <w:spacing w:before="80" w:after="80"/>
      </w:pPr>
    </w:p>
    <w:p w:rsidR="00F36432" w:rsidRPr="001A3F62" w:rsidRDefault="00F36432" w:rsidP="00F36432">
      <w:pPr>
        <w:rPr>
          <w:u w:val="single"/>
          <w:lang w:val="en-NZ"/>
        </w:rPr>
      </w:pPr>
      <w:r w:rsidRPr="001A3F62">
        <w:rPr>
          <w:u w:val="single"/>
          <w:lang w:val="en-NZ"/>
        </w:rPr>
        <w:t xml:space="preserve">Decision </w:t>
      </w:r>
    </w:p>
    <w:p w:rsidR="00F36432" w:rsidRPr="001A3F62" w:rsidRDefault="00F36432" w:rsidP="00F36432">
      <w:pPr>
        <w:rPr>
          <w:lang w:val="en-NZ"/>
        </w:rPr>
      </w:pPr>
    </w:p>
    <w:p w:rsidR="00F36432" w:rsidRPr="001A3F62" w:rsidRDefault="00F36432" w:rsidP="00F36432">
      <w:pPr>
        <w:rPr>
          <w:lang w:val="en-NZ"/>
        </w:rPr>
      </w:pPr>
      <w:r w:rsidRPr="001A3F62">
        <w:rPr>
          <w:lang w:val="en-NZ"/>
        </w:rPr>
        <w:t xml:space="preserve">This application was </w:t>
      </w:r>
      <w:r w:rsidRPr="001A3F62">
        <w:rPr>
          <w:i/>
          <w:lang w:val="en-NZ"/>
        </w:rPr>
        <w:t>approved</w:t>
      </w:r>
      <w:r w:rsidRPr="001A3F62">
        <w:rPr>
          <w:lang w:val="en-NZ"/>
        </w:rPr>
        <w:t xml:space="preserve"> by </w:t>
      </w:r>
      <w:r w:rsidRPr="001A3F62">
        <w:rPr>
          <w:rFonts w:cs="Arial"/>
          <w:szCs w:val="22"/>
          <w:lang w:val="en-NZ"/>
        </w:rPr>
        <w:t>consensus, subject to the following non-standard conditions:</w:t>
      </w:r>
    </w:p>
    <w:p w:rsidR="00F36432" w:rsidRPr="001A3F62" w:rsidRDefault="00F36432" w:rsidP="00F36432">
      <w:pPr>
        <w:rPr>
          <w:lang w:val="en-NZ"/>
        </w:rPr>
      </w:pPr>
    </w:p>
    <w:p w:rsidR="001A3F62" w:rsidRPr="001A3F62" w:rsidRDefault="001A3F62" w:rsidP="001A3F62">
      <w:pPr>
        <w:numPr>
          <w:ilvl w:val="0"/>
          <w:numId w:val="5"/>
        </w:numPr>
        <w:autoSpaceDE w:val="0"/>
        <w:autoSpaceDN w:val="0"/>
        <w:adjustRightInd w:val="0"/>
        <w:rPr>
          <w:rFonts w:cs="Arial"/>
        </w:rPr>
      </w:pPr>
      <w:r w:rsidRPr="001A3F62">
        <w:rPr>
          <w:rFonts w:cs="Arial"/>
        </w:rPr>
        <w:t xml:space="preserve">Please update the participant information sheet and consent form, taking into account feedback provided by the Committee. </w:t>
      </w:r>
      <w:r w:rsidRPr="001A3F62">
        <w:rPr>
          <w:rFonts w:cs="Arial"/>
          <w:i/>
        </w:rPr>
        <w:t xml:space="preserve">(National Ethical Standards for Health and Disability Research and Quality Improvement, para 7.15 – 7.17).  </w:t>
      </w:r>
    </w:p>
    <w:p w:rsidR="001A3F62" w:rsidRPr="001A3F62" w:rsidRDefault="001A3F62" w:rsidP="001A3F62">
      <w:pPr>
        <w:pStyle w:val="ListParagraph"/>
        <w:ind w:left="360"/>
        <w:rPr>
          <w:rFonts w:cs="Arial"/>
          <w:szCs w:val="22"/>
          <w:lang w:val="en-NZ"/>
        </w:rPr>
      </w:pPr>
    </w:p>
    <w:p w:rsidR="00F36432" w:rsidRPr="001A3F62" w:rsidRDefault="00B0360C" w:rsidP="00AB6059">
      <w:pPr>
        <w:pStyle w:val="ListParagraph"/>
        <w:numPr>
          <w:ilvl w:val="0"/>
          <w:numId w:val="5"/>
        </w:numPr>
        <w:rPr>
          <w:rFonts w:cs="Arial"/>
          <w:szCs w:val="22"/>
          <w:lang w:val="en-NZ"/>
        </w:rPr>
      </w:pPr>
      <w:r w:rsidRPr="001A3F62">
        <w:rPr>
          <w:rFonts w:cs="Arial"/>
          <w:szCs w:val="22"/>
          <w:lang w:val="en-NZ"/>
        </w:rPr>
        <w:t xml:space="preserve">Please provide written confirmation that incompetent adult participants unable to provide consent will NOT be recruited. </w:t>
      </w:r>
    </w:p>
    <w:p w:rsidR="00F36432" w:rsidRPr="001A3F62" w:rsidRDefault="00F36432" w:rsidP="00F36432">
      <w:pPr>
        <w:rPr>
          <w:lang w:val="en-NZ"/>
        </w:rPr>
      </w:pPr>
    </w:p>
    <w:p w:rsidR="007A37A4" w:rsidRDefault="007A37A4" w:rsidP="007A37A4">
      <w:pPr>
        <w:pStyle w:val="ListParagraph"/>
        <w:rPr>
          <w:rFonts w:cs="Arial"/>
          <w:color w:val="33CCCC"/>
          <w:szCs w:val="22"/>
          <w:lang w:val="en-NZ"/>
        </w:rPr>
      </w:pPr>
    </w:p>
    <w:p w:rsidR="007A37A4" w:rsidRDefault="007A37A4" w:rsidP="007A37A4">
      <w:pPr>
        <w:pStyle w:val="ListParagraph"/>
        <w:rPr>
          <w:rFonts w:cs="Arial"/>
          <w:color w:val="33CCCC"/>
          <w:szCs w:val="22"/>
          <w:lang w:val="en-NZ"/>
        </w:rPr>
      </w:pPr>
    </w:p>
    <w:p w:rsidR="007A37A4" w:rsidRDefault="007A37A4" w:rsidP="007A37A4">
      <w:pPr>
        <w:pStyle w:val="ListParagraph"/>
        <w:rPr>
          <w:rFonts w:cs="Arial"/>
          <w:color w:val="33CCCC"/>
          <w:szCs w:val="22"/>
          <w:lang w:val="en-NZ"/>
        </w:rPr>
      </w:pPr>
    </w:p>
    <w:p w:rsidR="007A37A4" w:rsidRDefault="007A37A4" w:rsidP="007A37A4">
      <w:pPr>
        <w:pStyle w:val="ListParagraph"/>
        <w:rPr>
          <w:rFonts w:cs="Arial"/>
          <w:color w:val="33CCCC"/>
          <w:szCs w:val="22"/>
          <w:lang w:val="en-NZ"/>
        </w:rPr>
      </w:pPr>
    </w:p>
    <w:p w:rsidR="009B31F7" w:rsidRDefault="009B31F7" w:rsidP="007A37A4">
      <w:pPr>
        <w:pStyle w:val="ListParagraph"/>
        <w:ind w:left="0"/>
        <w:rPr>
          <w:rFonts w:cs="Arial"/>
          <w:color w:val="33CCCC"/>
          <w:szCs w:val="22"/>
          <w:lang w:val="en-NZ"/>
        </w:rPr>
      </w:pPr>
    </w:p>
    <w:p w:rsidR="00F36432" w:rsidRDefault="00F36432" w:rsidP="00F36432">
      <w:pPr>
        <w:spacing w:before="80" w:after="80"/>
      </w:pPr>
    </w:p>
    <w:p w:rsidR="00F36432" w:rsidRPr="00960BFE" w:rsidRDefault="00F36432" w:rsidP="001B1AB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rPr>
                <w:b/>
              </w:rPr>
              <w:t>20/CEN/51</w:t>
            </w:r>
            <w:r w:rsidRPr="00960BFE">
              <w:t xml:space="preserv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Title: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SQUEEZE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Principal Investigator: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Dr Andrew Wilson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Sponsor: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Auckland District Health Board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Clock Start Date: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12 March 2020 </w:t>
            </w:r>
          </w:p>
        </w:tc>
        <w:tc>
          <w:tcPr>
            <w:tcW w:w="360" w:type="dxa"/>
          </w:tcPr>
          <w:p w:rsidR="00F36432" w:rsidRPr="00960BFE" w:rsidRDefault="00F36432">
            <w:r w:rsidRPr="00960BFE">
              <w:t xml:space="preserve"> </w:t>
            </w:r>
          </w:p>
        </w:tc>
      </w:tr>
    </w:tbl>
    <w:p w:rsidR="00F36432" w:rsidRPr="001A3F62" w:rsidRDefault="00F36432" w:rsidP="001B1ABA">
      <w:pPr>
        <w:autoSpaceDE w:val="0"/>
        <w:autoSpaceDN w:val="0"/>
        <w:adjustRightInd w:val="0"/>
      </w:pPr>
      <w:r w:rsidRPr="001A3F62">
        <w:t xml:space="preserve"> </w:t>
      </w:r>
    </w:p>
    <w:p w:rsidR="00F36432" w:rsidRPr="001A3F62" w:rsidRDefault="00691B35" w:rsidP="00F36432">
      <w:pPr>
        <w:autoSpaceDE w:val="0"/>
        <w:autoSpaceDN w:val="0"/>
        <w:adjustRightInd w:val="0"/>
        <w:rPr>
          <w:sz w:val="20"/>
          <w:lang w:val="en-NZ"/>
        </w:rPr>
      </w:pPr>
      <w:r w:rsidRPr="001A3F62">
        <w:rPr>
          <w:rFonts w:cs="Arial"/>
          <w:szCs w:val="22"/>
          <w:lang w:val="en-NZ"/>
        </w:rPr>
        <w:t>Dr Andrew Wilson</w:t>
      </w:r>
      <w:r w:rsidR="00F36432" w:rsidRPr="001A3F62">
        <w:rPr>
          <w:lang w:val="en-NZ"/>
        </w:rPr>
        <w:t xml:space="preserve"> was present </w:t>
      </w:r>
      <w:r w:rsidR="00F36432" w:rsidRPr="001A3F62">
        <w:rPr>
          <w:rFonts w:cs="Arial"/>
          <w:szCs w:val="22"/>
          <w:lang w:val="en-NZ"/>
        </w:rPr>
        <w:t>by teleconference</w:t>
      </w:r>
      <w:r w:rsidR="00F36432" w:rsidRPr="001A3F62">
        <w:rPr>
          <w:lang w:val="en-NZ"/>
        </w:rPr>
        <w:t xml:space="preserve"> for discussion of this application.</w:t>
      </w:r>
    </w:p>
    <w:p w:rsidR="00F36432" w:rsidRPr="001A3F62" w:rsidRDefault="00F36432" w:rsidP="00F36432">
      <w:pPr>
        <w:rPr>
          <w:u w:val="single"/>
          <w:lang w:val="en-NZ"/>
        </w:rPr>
      </w:pPr>
    </w:p>
    <w:p w:rsidR="00F36432" w:rsidRPr="001A3F62" w:rsidRDefault="00F36432" w:rsidP="00F36432">
      <w:pPr>
        <w:rPr>
          <w:u w:val="single"/>
          <w:lang w:val="en-NZ"/>
        </w:rPr>
      </w:pPr>
      <w:r w:rsidRPr="001A3F62">
        <w:rPr>
          <w:u w:val="single"/>
          <w:lang w:val="en-NZ"/>
        </w:rPr>
        <w:t>Potential conflicts of interest</w:t>
      </w:r>
    </w:p>
    <w:p w:rsidR="00F36432" w:rsidRPr="001A3F62" w:rsidRDefault="00F36432" w:rsidP="00F36432">
      <w:pPr>
        <w:rPr>
          <w:b/>
          <w:lang w:val="en-NZ"/>
        </w:rPr>
      </w:pPr>
    </w:p>
    <w:p w:rsidR="00F36432" w:rsidRPr="001A3F62" w:rsidRDefault="00F36432" w:rsidP="00F36432">
      <w:pPr>
        <w:rPr>
          <w:lang w:val="en-NZ"/>
        </w:rPr>
      </w:pPr>
      <w:r w:rsidRPr="001A3F62">
        <w:rPr>
          <w:lang w:val="en-NZ"/>
        </w:rPr>
        <w:t>The Chair asked members to declare any potential conflicts of interest related to this application.</w:t>
      </w:r>
    </w:p>
    <w:p w:rsidR="00F36432" w:rsidRPr="001A3F62" w:rsidRDefault="00F36432" w:rsidP="00F36432">
      <w:pPr>
        <w:rPr>
          <w:lang w:val="en-NZ"/>
        </w:rPr>
      </w:pPr>
    </w:p>
    <w:p w:rsidR="00F36432" w:rsidRPr="001A3F62" w:rsidRDefault="00F36432" w:rsidP="00F36432">
      <w:pPr>
        <w:rPr>
          <w:lang w:val="en-NZ"/>
        </w:rPr>
      </w:pPr>
      <w:r w:rsidRPr="001A3F62">
        <w:rPr>
          <w:lang w:val="en-NZ"/>
        </w:rPr>
        <w:t>No potential conflicts of interest related to this application were declared by any member.</w:t>
      </w:r>
    </w:p>
    <w:p w:rsidR="00F36432" w:rsidRPr="00960BFE" w:rsidRDefault="00F36432" w:rsidP="00F36432">
      <w:pPr>
        <w:rPr>
          <w:lang w:val="en-NZ"/>
        </w:rPr>
      </w:pPr>
    </w:p>
    <w:p w:rsidR="00F36432" w:rsidRDefault="00F36432" w:rsidP="00F36432">
      <w:pPr>
        <w:rPr>
          <w:u w:val="single"/>
          <w:lang w:val="en-NZ"/>
        </w:rPr>
      </w:pPr>
      <w:r w:rsidRPr="001C059D">
        <w:rPr>
          <w:u w:val="single"/>
          <w:lang w:val="en-NZ"/>
        </w:rPr>
        <w:t>Summary of Study</w:t>
      </w:r>
    </w:p>
    <w:p w:rsidR="00F36432" w:rsidRDefault="00F36432" w:rsidP="00F36432">
      <w:pPr>
        <w:rPr>
          <w:u w:val="single"/>
          <w:lang w:val="en-NZ"/>
        </w:rPr>
      </w:pPr>
    </w:p>
    <w:p w:rsidR="00F36432" w:rsidRPr="00781421" w:rsidRDefault="00504A7B" w:rsidP="00AB6059">
      <w:pPr>
        <w:pStyle w:val="ListParagraph"/>
        <w:numPr>
          <w:ilvl w:val="0"/>
          <w:numId w:val="7"/>
        </w:numPr>
        <w:rPr>
          <w:u w:val="single"/>
          <w:lang w:val="en-NZ"/>
        </w:rPr>
      </w:pPr>
      <w:r w:rsidRPr="00504A7B">
        <w:rPr>
          <w:lang w:val="en-NZ"/>
        </w:rPr>
        <w:t>Postoperative hypotension is a common occurrence following major non-cardiac surgery, how this is treated varies nationally and internationally.  The commonest treatment is intravenous fluids but occasionally an infusion of medication is required – typically the medication is from a class of drugs called vasopressors, that increase blood pressure. The receipt of postoperative vasopressor infusions has never been described and that is the focus of this study.</w:t>
      </w:r>
    </w:p>
    <w:p w:rsidR="00F36432" w:rsidRDefault="00F36432" w:rsidP="00F36432">
      <w:pPr>
        <w:autoSpaceDE w:val="0"/>
        <w:autoSpaceDN w:val="0"/>
        <w:adjustRightInd w:val="0"/>
        <w:rPr>
          <w:lang w:val="en-NZ"/>
        </w:rPr>
      </w:pPr>
    </w:p>
    <w:p w:rsidR="00F36432" w:rsidRDefault="00F36432" w:rsidP="00F36432">
      <w:pPr>
        <w:rPr>
          <w:u w:val="single"/>
          <w:lang w:val="en-NZ"/>
        </w:rPr>
      </w:pPr>
      <w:r w:rsidRPr="001C059D">
        <w:rPr>
          <w:u w:val="single"/>
          <w:lang w:val="en-NZ"/>
        </w:rPr>
        <w:t>Summary of</w:t>
      </w:r>
      <w:r>
        <w:rPr>
          <w:u w:val="single"/>
          <w:lang w:val="en-NZ"/>
        </w:rPr>
        <w:t xml:space="preserve"> resolved ethical issues </w:t>
      </w:r>
    </w:p>
    <w:p w:rsidR="00F36432" w:rsidRDefault="00F36432" w:rsidP="00F36432">
      <w:pPr>
        <w:rPr>
          <w:u w:val="single"/>
          <w:lang w:val="en-NZ"/>
        </w:rPr>
      </w:pPr>
    </w:p>
    <w:p w:rsidR="00F36432" w:rsidRPr="000A1C67" w:rsidRDefault="00F36432" w:rsidP="00F3643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F36432" w:rsidRDefault="00F36432" w:rsidP="00F36432">
      <w:pPr>
        <w:rPr>
          <w:u w:val="single"/>
          <w:lang w:val="en-NZ"/>
        </w:rPr>
      </w:pPr>
    </w:p>
    <w:p w:rsidR="001A3F62" w:rsidRPr="000676FB" w:rsidRDefault="001A3F62" w:rsidP="001A3F62">
      <w:pPr>
        <w:pStyle w:val="ListParagraph"/>
        <w:numPr>
          <w:ilvl w:val="0"/>
          <w:numId w:val="7"/>
        </w:numPr>
        <w:rPr>
          <w:rFonts w:cs="Arial"/>
          <w:szCs w:val="22"/>
          <w:lang w:val="en-NZ"/>
        </w:rPr>
      </w:pPr>
      <w:r w:rsidRPr="000676FB">
        <w:rPr>
          <w:rFonts w:cs="Arial"/>
          <w:szCs w:val="22"/>
          <w:lang w:val="en-NZ"/>
        </w:rPr>
        <w:t xml:space="preserve">The Committee noted the study was akin to a prospective audit and did not believe the Code of Health and Disability Services Consumers’ Rights would apply as the research did not involve treatment being offered. </w:t>
      </w:r>
    </w:p>
    <w:p w:rsidR="001A3F62" w:rsidRPr="000676FB" w:rsidRDefault="001A3F62" w:rsidP="001A3F62">
      <w:pPr>
        <w:pStyle w:val="ListParagraph"/>
        <w:ind w:left="0"/>
        <w:rPr>
          <w:rFonts w:cs="Arial"/>
          <w:szCs w:val="22"/>
          <w:lang w:val="en-NZ"/>
        </w:rPr>
      </w:pPr>
    </w:p>
    <w:p w:rsidR="001A3F62" w:rsidRPr="000676FB" w:rsidRDefault="001A3F62" w:rsidP="001A3F62">
      <w:pPr>
        <w:pStyle w:val="ListParagraph"/>
        <w:numPr>
          <w:ilvl w:val="0"/>
          <w:numId w:val="7"/>
        </w:numPr>
        <w:rPr>
          <w:rFonts w:cs="Arial"/>
          <w:szCs w:val="22"/>
          <w:lang w:val="en-NZ"/>
        </w:rPr>
      </w:pPr>
      <w:r w:rsidRPr="000676FB">
        <w:rPr>
          <w:rFonts w:cs="Arial"/>
          <w:szCs w:val="22"/>
          <w:lang w:val="en-NZ"/>
        </w:rPr>
        <w:t xml:space="preserve">The Committee queried at what stage the data would be anonymised. The Researcher stated each patient will be assigned with a study ID code and so the data would be anonymised upon entry into the database. </w:t>
      </w:r>
    </w:p>
    <w:p w:rsidR="001A3F62" w:rsidRPr="000676FB" w:rsidRDefault="001A3F62" w:rsidP="001A3F62">
      <w:pPr>
        <w:pStyle w:val="ListParagraph"/>
        <w:ind w:left="0"/>
        <w:rPr>
          <w:rFonts w:cs="Arial"/>
          <w:szCs w:val="22"/>
          <w:lang w:val="en-NZ"/>
        </w:rPr>
      </w:pPr>
    </w:p>
    <w:p w:rsidR="001A3F62" w:rsidRPr="000676FB" w:rsidRDefault="001A3F62" w:rsidP="001A3F62">
      <w:pPr>
        <w:pStyle w:val="ListParagraph"/>
        <w:numPr>
          <w:ilvl w:val="0"/>
          <w:numId w:val="7"/>
        </w:numPr>
        <w:rPr>
          <w:rFonts w:cs="Arial"/>
          <w:szCs w:val="22"/>
          <w:lang w:val="en-NZ"/>
        </w:rPr>
      </w:pPr>
      <w:r w:rsidRPr="000676FB">
        <w:rPr>
          <w:rFonts w:cs="Arial"/>
          <w:szCs w:val="22"/>
          <w:lang w:val="en-NZ"/>
        </w:rPr>
        <w:t xml:space="preserve">The Committee queried whether any statistics on prevalence in Māori were available. The Researcher stated this was currently unknown but as Auckland hospital has a large population of Māori, Pasifika and elderly people the study would hopefully generate information about this. </w:t>
      </w:r>
    </w:p>
    <w:p w:rsidR="00F36432" w:rsidRDefault="00F36432" w:rsidP="001A3F62">
      <w:pPr>
        <w:pStyle w:val="ListParagraph"/>
        <w:spacing w:before="80" w:after="80"/>
        <w:rPr>
          <w:u w:val="single"/>
          <w:lang w:val="en-NZ"/>
        </w:rPr>
      </w:pPr>
    </w:p>
    <w:p w:rsidR="001A3F62" w:rsidRPr="004874CD" w:rsidRDefault="001A3F62" w:rsidP="001A3F62">
      <w:pPr>
        <w:pStyle w:val="ListParagraph"/>
        <w:spacing w:before="80" w:after="80"/>
        <w:ind w:left="0"/>
        <w:rPr>
          <w:u w:val="single"/>
          <w:lang w:val="en-NZ"/>
        </w:rPr>
      </w:pPr>
    </w:p>
    <w:p w:rsidR="00F36432" w:rsidRPr="00B0360C" w:rsidRDefault="00F36432" w:rsidP="00F36432">
      <w:pPr>
        <w:rPr>
          <w:u w:val="single"/>
          <w:lang w:val="en-NZ"/>
        </w:rPr>
      </w:pPr>
      <w:r w:rsidRPr="00FD2B1E">
        <w:rPr>
          <w:u w:val="single"/>
          <w:lang w:val="en-NZ"/>
        </w:rPr>
        <w:t xml:space="preserve">Decision </w:t>
      </w:r>
    </w:p>
    <w:p w:rsidR="00F36432" w:rsidRPr="00B0360C" w:rsidRDefault="00F36432" w:rsidP="00F36432">
      <w:pPr>
        <w:rPr>
          <w:lang w:val="en-NZ"/>
        </w:rPr>
      </w:pPr>
    </w:p>
    <w:p w:rsidR="00F36432" w:rsidRPr="00B0360C" w:rsidRDefault="00F36432" w:rsidP="00F36432">
      <w:pPr>
        <w:rPr>
          <w:lang w:val="en-NZ"/>
        </w:rPr>
      </w:pPr>
      <w:r w:rsidRPr="00B0360C">
        <w:rPr>
          <w:lang w:val="en-NZ"/>
        </w:rPr>
        <w:t xml:space="preserve">This application was </w:t>
      </w:r>
      <w:r w:rsidRPr="00B0360C">
        <w:rPr>
          <w:i/>
          <w:lang w:val="en-NZ"/>
        </w:rPr>
        <w:t>approved</w:t>
      </w:r>
      <w:r w:rsidRPr="00B0360C">
        <w:rPr>
          <w:lang w:val="en-NZ"/>
        </w:rPr>
        <w:t xml:space="preserve"> by </w:t>
      </w:r>
      <w:r w:rsidRPr="00B0360C">
        <w:rPr>
          <w:rFonts w:cs="Arial"/>
          <w:szCs w:val="22"/>
          <w:lang w:val="en-NZ"/>
        </w:rPr>
        <w:t>consensus</w:t>
      </w:r>
      <w:r w:rsidR="00B0360C" w:rsidRPr="00B0360C">
        <w:rPr>
          <w:rFonts w:cs="Arial"/>
          <w:szCs w:val="22"/>
          <w:lang w:val="en-NZ"/>
        </w:rPr>
        <w:t>.</w:t>
      </w:r>
    </w:p>
    <w:p w:rsidR="00FF5069" w:rsidRDefault="00FF5069" w:rsidP="00FF5069">
      <w:pPr>
        <w:pStyle w:val="ListParagraph"/>
        <w:rPr>
          <w:rFonts w:cs="Arial"/>
          <w:color w:val="33CCCC"/>
          <w:szCs w:val="22"/>
          <w:lang w:val="en-NZ"/>
        </w:rPr>
      </w:pPr>
    </w:p>
    <w:p w:rsidR="00FF5069" w:rsidRDefault="00FF5069" w:rsidP="00FF5069">
      <w:pPr>
        <w:pStyle w:val="ListParagraph"/>
        <w:rPr>
          <w:rFonts w:cs="Arial"/>
          <w:color w:val="33CCCC"/>
          <w:szCs w:val="22"/>
          <w:lang w:val="en-NZ"/>
        </w:rPr>
      </w:pPr>
    </w:p>
    <w:p w:rsidR="00FF5069" w:rsidRPr="000676FB" w:rsidRDefault="00FF5069" w:rsidP="00FF5069">
      <w:pPr>
        <w:pStyle w:val="ListParagraph"/>
        <w:ind w:left="0"/>
        <w:rPr>
          <w:rFonts w:cs="Arial"/>
          <w:szCs w:val="22"/>
          <w:lang w:val="en-NZ"/>
        </w:rPr>
      </w:pPr>
    </w:p>
    <w:p w:rsidR="00F36432" w:rsidRDefault="00F36432" w:rsidP="00F36432">
      <w:pPr>
        <w:spacing w:before="80" w:after="80"/>
      </w:pPr>
    </w:p>
    <w:p w:rsidR="00F36432" w:rsidRPr="00960BFE" w:rsidRDefault="00F36432" w:rsidP="001B1AB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rPr>
                <w:b/>
              </w:rPr>
              <w:t>20/CEN/59</w:t>
            </w:r>
            <w:r w:rsidRPr="00960BFE">
              <w:t xml:space="preserv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Title: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TIPS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Principal Investigator: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Associate Professor Peter H Sykes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Sponsor: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University of Sydney </w:t>
            </w:r>
          </w:p>
        </w:tc>
        <w:tc>
          <w:tcPr>
            <w:tcW w:w="360" w:type="dxa"/>
          </w:tcPr>
          <w:p w:rsidR="00F36432" w:rsidRPr="00960BFE" w:rsidRDefault="00F36432">
            <w:r w:rsidRPr="00960BFE">
              <w:t xml:space="preserve"> </w:t>
            </w:r>
          </w:p>
        </w:tc>
      </w:tr>
      <w:tr w:rsidR="00F36432" w:rsidRPr="001A3F62">
        <w:trPr>
          <w:trHeight w:val="280"/>
        </w:trPr>
        <w:tc>
          <w:tcPr>
            <w:tcW w:w="966" w:type="dxa"/>
            <w:tcBorders>
              <w:top w:val="nil"/>
              <w:left w:val="nil"/>
              <w:bottom w:val="nil"/>
              <w:right w:val="nil"/>
            </w:tcBorders>
          </w:tcPr>
          <w:p w:rsidR="00F36432" w:rsidRPr="001A3F62" w:rsidRDefault="00F36432" w:rsidP="001B1ABA">
            <w:pPr>
              <w:autoSpaceDE w:val="0"/>
              <w:autoSpaceDN w:val="0"/>
              <w:adjustRightInd w:val="0"/>
            </w:pPr>
            <w:r w:rsidRPr="001A3F62">
              <w:t xml:space="preserve"> </w:t>
            </w:r>
          </w:p>
        </w:tc>
        <w:tc>
          <w:tcPr>
            <w:tcW w:w="2575" w:type="dxa"/>
            <w:tcBorders>
              <w:top w:val="nil"/>
              <w:left w:val="nil"/>
              <w:bottom w:val="nil"/>
              <w:right w:val="nil"/>
            </w:tcBorders>
          </w:tcPr>
          <w:p w:rsidR="00F36432" w:rsidRPr="001A3F62" w:rsidRDefault="00F36432" w:rsidP="001B1ABA">
            <w:pPr>
              <w:autoSpaceDE w:val="0"/>
              <w:autoSpaceDN w:val="0"/>
              <w:adjustRightInd w:val="0"/>
            </w:pPr>
            <w:r w:rsidRPr="001A3F62">
              <w:t xml:space="preserve">Clock Start Date: </w:t>
            </w:r>
          </w:p>
        </w:tc>
        <w:tc>
          <w:tcPr>
            <w:tcW w:w="6459" w:type="dxa"/>
            <w:tcBorders>
              <w:top w:val="nil"/>
              <w:left w:val="nil"/>
              <w:bottom w:val="nil"/>
              <w:right w:val="nil"/>
            </w:tcBorders>
          </w:tcPr>
          <w:p w:rsidR="00F36432" w:rsidRPr="001A3F62" w:rsidRDefault="00F36432" w:rsidP="001B1ABA">
            <w:pPr>
              <w:autoSpaceDE w:val="0"/>
              <w:autoSpaceDN w:val="0"/>
              <w:adjustRightInd w:val="0"/>
            </w:pPr>
            <w:r w:rsidRPr="001A3F62">
              <w:t xml:space="preserve">12 March 2020 </w:t>
            </w:r>
          </w:p>
        </w:tc>
        <w:tc>
          <w:tcPr>
            <w:tcW w:w="360" w:type="dxa"/>
          </w:tcPr>
          <w:p w:rsidR="00F36432" w:rsidRPr="001A3F62" w:rsidRDefault="00F36432">
            <w:r w:rsidRPr="001A3F62">
              <w:t xml:space="preserve"> </w:t>
            </w:r>
          </w:p>
        </w:tc>
      </w:tr>
    </w:tbl>
    <w:p w:rsidR="00F36432" w:rsidRPr="001A3F62" w:rsidRDefault="00F36432" w:rsidP="001B1ABA">
      <w:pPr>
        <w:autoSpaceDE w:val="0"/>
        <w:autoSpaceDN w:val="0"/>
        <w:adjustRightInd w:val="0"/>
      </w:pPr>
      <w:r w:rsidRPr="001A3F62">
        <w:t xml:space="preserve"> </w:t>
      </w:r>
    </w:p>
    <w:p w:rsidR="00F36432" w:rsidRPr="001A3F62" w:rsidRDefault="00C971DD" w:rsidP="00F36432">
      <w:pPr>
        <w:autoSpaceDE w:val="0"/>
        <w:autoSpaceDN w:val="0"/>
        <w:adjustRightInd w:val="0"/>
        <w:rPr>
          <w:sz w:val="20"/>
          <w:lang w:val="en-NZ"/>
        </w:rPr>
      </w:pPr>
      <w:r w:rsidRPr="001A3F62">
        <w:rPr>
          <w:rFonts w:cs="Arial"/>
          <w:szCs w:val="22"/>
          <w:lang w:val="en-NZ"/>
        </w:rPr>
        <w:t>Associate Professor Peter H Sykes</w:t>
      </w:r>
      <w:r w:rsidR="00F36432" w:rsidRPr="001A3F62">
        <w:rPr>
          <w:lang w:val="en-NZ"/>
        </w:rPr>
        <w:t xml:space="preserve"> was present </w:t>
      </w:r>
      <w:r w:rsidR="00F36432" w:rsidRPr="001A3F62">
        <w:rPr>
          <w:rFonts w:cs="Arial"/>
          <w:szCs w:val="22"/>
          <w:lang w:val="en-NZ"/>
        </w:rPr>
        <w:t>by teleconference</w:t>
      </w:r>
      <w:r w:rsidR="00F36432" w:rsidRPr="001A3F62">
        <w:rPr>
          <w:lang w:val="en-NZ"/>
        </w:rPr>
        <w:t xml:space="preserve"> for discussion of this application.</w:t>
      </w:r>
    </w:p>
    <w:p w:rsidR="00F36432" w:rsidRDefault="00F36432" w:rsidP="00F36432">
      <w:pPr>
        <w:rPr>
          <w:u w:val="single"/>
          <w:lang w:val="en-NZ"/>
        </w:rPr>
      </w:pPr>
    </w:p>
    <w:p w:rsidR="00F36432" w:rsidRPr="00FD2B1E" w:rsidRDefault="00F36432" w:rsidP="00F36432">
      <w:pPr>
        <w:rPr>
          <w:u w:val="single"/>
          <w:lang w:val="en-NZ"/>
        </w:rPr>
      </w:pPr>
      <w:r w:rsidRPr="00FD2B1E">
        <w:rPr>
          <w:u w:val="single"/>
          <w:lang w:val="en-NZ"/>
        </w:rPr>
        <w:t>Potential conflicts of interest</w:t>
      </w:r>
    </w:p>
    <w:p w:rsidR="00F36432" w:rsidRPr="008869BB" w:rsidRDefault="00F36432" w:rsidP="00F36432">
      <w:pPr>
        <w:rPr>
          <w:b/>
          <w:lang w:val="en-NZ"/>
        </w:rPr>
      </w:pPr>
    </w:p>
    <w:p w:rsidR="00F36432" w:rsidRPr="00960BFE" w:rsidRDefault="00F36432" w:rsidP="00F36432">
      <w:pPr>
        <w:rPr>
          <w:lang w:val="en-NZ"/>
        </w:rPr>
      </w:pPr>
      <w:r w:rsidRPr="00960BFE">
        <w:rPr>
          <w:lang w:val="en-NZ"/>
        </w:rPr>
        <w:t>The Chair asked members to declare any potential conflicts of interest related to this application.</w:t>
      </w:r>
    </w:p>
    <w:p w:rsidR="00F36432" w:rsidRPr="00960BFE" w:rsidRDefault="00F36432" w:rsidP="00F36432">
      <w:pPr>
        <w:rPr>
          <w:lang w:val="en-NZ"/>
        </w:rPr>
      </w:pPr>
    </w:p>
    <w:p w:rsidR="00F36432" w:rsidRDefault="00F36432" w:rsidP="00F36432">
      <w:pPr>
        <w:rPr>
          <w:lang w:val="en-NZ"/>
        </w:rPr>
      </w:pPr>
      <w:r w:rsidRPr="00FD2B1E">
        <w:rPr>
          <w:lang w:val="en-NZ"/>
        </w:rPr>
        <w:t>No potential conflicts</w:t>
      </w:r>
      <w:r w:rsidRPr="00960BFE">
        <w:rPr>
          <w:lang w:val="en-NZ"/>
        </w:rPr>
        <w:t xml:space="preserve"> of interest related to this application were declared by any member.</w:t>
      </w:r>
    </w:p>
    <w:p w:rsidR="00F36432" w:rsidRDefault="00F36432" w:rsidP="00F36432">
      <w:pPr>
        <w:rPr>
          <w:lang w:val="en-NZ"/>
        </w:rPr>
      </w:pPr>
    </w:p>
    <w:p w:rsidR="00F36432" w:rsidRPr="00960BFE" w:rsidRDefault="00F36432" w:rsidP="00F36432">
      <w:pPr>
        <w:rPr>
          <w:lang w:val="en-NZ"/>
        </w:rPr>
      </w:pPr>
    </w:p>
    <w:p w:rsidR="00F36432" w:rsidRDefault="00F36432" w:rsidP="00F36432">
      <w:pPr>
        <w:rPr>
          <w:u w:val="single"/>
          <w:lang w:val="en-NZ"/>
        </w:rPr>
      </w:pPr>
      <w:r w:rsidRPr="001C059D">
        <w:rPr>
          <w:u w:val="single"/>
          <w:lang w:val="en-NZ"/>
        </w:rPr>
        <w:t>Summary of Study</w:t>
      </w:r>
    </w:p>
    <w:p w:rsidR="00F36432" w:rsidRDefault="00F36432" w:rsidP="00F36432">
      <w:pPr>
        <w:rPr>
          <w:u w:val="single"/>
          <w:lang w:val="en-NZ"/>
        </w:rPr>
      </w:pPr>
    </w:p>
    <w:p w:rsidR="00F36432" w:rsidRPr="00781421" w:rsidRDefault="00504A7B" w:rsidP="00AB6059">
      <w:pPr>
        <w:pStyle w:val="ListParagraph"/>
        <w:numPr>
          <w:ilvl w:val="0"/>
          <w:numId w:val="8"/>
        </w:numPr>
        <w:rPr>
          <w:u w:val="single"/>
          <w:lang w:val="en-NZ"/>
        </w:rPr>
      </w:pPr>
      <w:r w:rsidRPr="00504A7B">
        <w:rPr>
          <w:lang w:val="en-NZ"/>
        </w:rPr>
        <w:t>The purpose of the TIPS study is to compare the effectiveness of two different interventions given before surgery to see if they improve the time needed to recover after surgery. The two interventions being tested are a ‘</w:t>
      </w:r>
      <w:proofErr w:type="spellStart"/>
      <w:r w:rsidRPr="00504A7B">
        <w:rPr>
          <w:lang w:val="en-NZ"/>
        </w:rPr>
        <w:t>carboloading’drink</w:t>
      </w:r>
      <w:proofErr w:type="spellEnd"/>
      <w:r w:rsidRPr="00504A7B">
        <w:rPr>
          <w:lang w:val="en-NZ"/>
        </w:rPr>
        <w:t xml:space="preserve"> and pain medication called pregabalin (Lyrica ®). The study aim is to reduce the time needed to recover after surgery. The interventions are being tested in women who will undergo an operation for ovarian cancer.</w:t>
      </w:r>
    </w:p>
    <w:p w:rsidR="00F36432" w:rsidRDefault="00F36432" w:rsidP="00F36432">
      <w:pPr>
        <w:autoSpaceDE w:val="0"/>
        <w:autoSpaceDN w:val="0"/>
        <w:adjustRightInd w:val="0"/>
        <w:rPr>
          <w:lang w:val="en-NZ"/>
        </w:rPr>
      </w:pPr>
    </w:p>
    <w:p w:rsidR="00F36432" w:rsidRPr="00C5052B" w:rsidRDefault="00F36432" w:rsidP="00F36432">
      <w:pPr>
        <w:spacing w:before="80" w:after="80"/>
        <w:rPr>
          <w:u w:val="single"/>
          <w:lang w:val="en-NZ"/>
        </w:rPr>
      </w:pPr>
    </w:p>
    <w:p w:rsidR="00F36432" w:rsidRPr="000A1C67" w:rsidRDefault="00F36432" w:rsidP="00F36432">
      <w:pPr>
        <w:rPr>
          <w:u w:val="single"/>
          <w:lang w:val="en-NZ"/>
        </w:rPr>
      </w:pPr>
      <w:r w:rsidRPr="000A1C67">
        <w:rPr>
          <w:u w:val="single"/>
          <w:lang w:val="en-NZ"/>
        </w:rPr>
        <w:t xml:space="preserve">Summary of </w:t>
      </w:r>
      <w:r>
        <w:rPr>
          <w:u w:val="single"/>
          <w:lang w:val="en-NZ"/>
        </w:rPr>
        <w:t>outstanding ethical issues</w:t>
      </w:r>
    </w:p>
    <w:p w:rsidR="00F36432" w:rsidRDefault="00F36432" w:rsidP="00F36432">
      <w:pPr>
        <w:rPr>
          <w:u w:val="single"/>
          <w:lang w:val="en-NZ"/>
        </w:rPr>
      </w:pPr>
    </w:p>
    <w:p w:rsidR="00F36432" w:rsidRDefault="00F36432" w:rsidP="00F3643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F36432" w:rsidRPr="00960BFE" w:rsidRDefault="00F36432" w:rsidP="00F36432">
      <w:pPr>
        <w:autoSpaceDE w:val="0"/>
        <w:autoSpaceDN w:val="0"/>
        <w:adjustRightInd w:val="0"/>
        <w:rPr>
          <w:lang w:val="en-NZ"/>
        </w:rPr>
      </w:pPr>
    </w:p>
    <w:p w:rsidR="001A3F62" w:rsidRDefault="001A3F62" w:rsidP="001A3F62">
      <w:pPr>
        <w:spacing w:before="80" w:after="80"/>
      </w:pPr>
    </w:p>
    <w:p w:rsidR="001A3F62" w:rsidRDefault="001A3F62" w:rsidP="001A3F62">
      <w:pPr>
        <w:numPr>
          <w:ilvl w:val="0"/>
          <w:numId w:val="8"/>
        </w:numPr>
        <w:spacing w:before="80" w:after="80"/>
      </w:pPr>
      <w:r>
        <w:t xml:space="preserve">The Committee noted the peer review and requested a copy of the reviewer’s comments along with any responses. </w:t>
      </w:r>
    </w:p>
    <w:p w:rsidR="001A3F62" w:rsidRDefault="001A3F62" w:rsidP="001A3F62">
      <w:pPr>
        <w:spacing w:before="80" w:after="80"/>
      </w:pPr>
    </w:p>
    <w:p w:rsidR="001A3F62" w:rsidRDefault="001A3F62" w:rsidP="001A3F62">
      <w:pPr>
        <w:numPr>
          <w:ilvl w:val="0"/>
          <w:numId w:val="8"/>
        </w:numPr>
        <w:spacing w:before="80" w:after="80"/>
      </w:pPr>
      <w:r>
        <w:t>The Committee requested a clarification to the statement that the study doctor will explain a participant’s own results ‘where relevant’ to specify what results and why they may or may not be relevant.</w:t>
      </w:r>
    </w:p>
    <w:p w:rsidR="001A3F62" w:rsidRDefault="001A3F62" w:rsidP="001A3F62">
      <w:pPr>
        <w:tabs>
          <w:tab w:val="left" w:pos="8025"/>
        </w:tabs>
        <w:spacing w:before="80" w:after="80"/>
      </w:pPr>
    </w:p>
    <w:p w:rsidR="001A3F62" w:rsidRDefault="001A3F62" w:rsidP="001A3F62">
      <w:pPr>
        <w:numPr>
          <w:ilvl w:val="0"/>
          <w:numId w:val="8"/>
        </w:numPr>
        <w:spacing w:before="80" w:after="80"/>
      </w:pPr>
      <w:r>
        <w:t xml:space="preserve">The Committee noted the response to P.4.2. in the application was inadequate. The Committee advised that there are cultural considerations to be aware of when undertaking research involving human tissue, information is a taonga and there is likely to be participants with feelings of </w:t>
      </w:r>
      <w:proofErr w:type="spellStart"/>
      <w:r>
        <w:t>whakamā</w:t>
      </w:r>
      <w:proofErr w:type="spellEnd"/>
      <w:r>
        <w:t xml:space="preserve">. The Committee requested the Researcher be mindful of this during the study and for future applications. </w:t>
      </w:r>
    </w:p>
    <w:p w:rsidR="001A3F62" w:rsidRDefault="001A3F62" w:rsidP="001A3F62">
      <w:pPr>
        <w:spacing w:before="80" w:after="80"/>
        <w:ind w:left="720"/>
      </w:pPr>
    </w:p>
    <w:p w:rsidR="001A3F62" w:rsidRDefault="001A3F62" w:rsidP="001A3F62">
      <w:pPr>
        <w:numPr>
          <w:ilvl w:val="0"/>
          <w:numId w:val="8"/>
        </w:numPr>
        <w:spacing w:before="80" w:after="80"/>
      </w:pPr>
      <w:r>
        <w:t xml:space="preserve">The Committee queried whether only women with ovarian cancer would be included or if the study was open to women with similar cancers. The Researcher explained the participant population was women having major surgery for ovarian cancer but a small number of women are operated on with suspected ovarian cancer who do not in fact have it, although this is a rare occurrence. The Committee noted the application referenced cancers of the Fallopian tubes and peritoneum. The Researcher stated from a practical </w:t>
      </w:r>
      <w:r>
        <w:lastRenderedPageBreak/>
        <w:t xml:space="preserve">point the diseases are the same and it is difficult to determine the primary origin. The Researcher explained the cancer process and treatment are the same from a clinician’s perspective. The Committee suggested including an explanation of this in the PIS. </w:t>
      </w:r>
    </w:p>
    <w:p w:rsidR="001A3F62" w:rsidRDefault="001A3F62" w:rsidP="001A3F62">
      <w:pPr>
        <w:spacing w:before="80" w:after="80"/>
        <w:ind w:left="720"/>
      </w:pPr>
    </w:p>
    <w:p w:rsidR="001A3F62" w:rsidRDefault="001A3F62" w:rsidP="001A3F62">
      <w:pPr>
        <w:numPr>
          <w:ilvl w:val="0"/>
          <w:numId w:val="8"/>
        </w:numPr>
        <w:spacing w:before="80" w:after="80"/>
      </w:pPr>
      <w:r>
        <w:t xml:space="preserve">The Committee queried the likelihood of a participant becoming pregnant. The Researcher stated it would be very unlikely. The Committee recommended the removal of the statement instructing participants not to become pregnant. The Researcher agreed it was a potentially upsetting statement and agreed to remove it. </w:t>
      </w:r>
    </w:p>
    <w:p w:rsidR="001A3F62" w:rsidRDefault="001A3F62" w:rsidP="001A3F62">
      <w:pPr>
        <w:tabs>
          <w:tab w:val="left" w:pos="8025"/>
        </w:tabs>
        <w:spacing w:before="80" w:after="80"/>
      </w:pPr>
    </w:p>
    <w:p w:rsidR="00F36432" w:rsidRPr="004874CD" w:rsidRDefault="001A3F62" w:rsidP="001A3F62">
      <w:pPr>
        <w:pStyle w:val="ListParagraph"/>
        <w:numPr>
          <w:ilvl w:val="0"/>
          <w:numId w:val="8"/>
        </w:numPr>
        <w:rPr>
          <w:u w:val="single"/>
          <w:lang w:val="en-NZ"/>
        </w:rPr>
      </w:pPr>
      <w:r>
        <w:t>The Committee noted there was no safety protocol to manage a participant expressing severe anxiety or depression. The Researcher stated this would be managed as per standard clinical practice and this support was important for ovarian cancer patients. The Committee was satisfied the Researcher had a support plan in place. The Committee requested the addition of a paragraph advising that if the study team is concerned about responses from the questionnaires, they will enact a safety plan and what this entails.</w:t>
      </w:r>
    </w:p>
    <w:p w:rsidR="00F36432" w:rsidRPr="004549E5" w:rsidRDefault="00F36432" w:rsidP="00F36432">
      <w:pPr>
        <w:spacing w:before="80" w:after="80"/>
        <w:rPr>
          <w:rFonts w:cs="Arial"/>
          <w:szCs w:val="22"/>
          <w:lang w:val="en-NZ"/>
        </w:rPr>
      </w:pPr>
    </w:p>
    <w:p w:rsidR="00F36432" w:rsidRDefault="00F36432" w:rsidP="00F3643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F36432" w:rsidRPr="00466AA7" w:rsidRDefault="00F36432" w:rsidP="00F36432">
      <w:pPr>
        <w:spacing w:before="80" w:after="80"/>
        <w:rPr>
          <w:rFonts w:cs="Arial"/>
          <w:szCs w:val="22"/>
          <w:lang w:val="en-NZ"/>
        </w:rPr>
      </w:pPr>
    </w:p>
    <w:p w:rsidR="001A3F62" w:rsidRDefault="001A3F62" w:rsidP="001A3F62">
      <w:pPr>
        <w:numPr>
          <w:ilvl w:val="0"/>
          <w:numId w:val="8"/>
        </w:numPr>
        <w:spacing w:before="80" w:after="80"/>
      </w:pPr>
      <w:r>
        <w:t xml:space="preserve">The Committee noted there was no consent related to samples being sent to Australia. The Committee requested information in the PIS explaining this along with a clause in the consent form for participants to agree to this. </w:t>
      </w:r>
    </w:p>
    <w:p w:rsidR="001A3F62" w:rsidRDefault="001A3F62" w:rsidP="001A3F62">
      <w:pPr>
        <w:spacing w:before="80" w:after="80"/>
      </w:pPr>
    </w:p>
    <w:p w:rsidR="001A3F62" w:rsidRDefault="001A3F62" w:rsidP="001A3F62">
      <w:pPr>
        <w:numPr>
          <w:ilvl w:val="0"/>
          <w:numId w:val="8"/>
        </w:numPr>
        <w:spacing w:before="80" w:after="80"/>
      </w:pPr>
      <w:r>
        <w:t xml:space="preserve">The Committee requested the first page be sorted in chronological order. </w:t>
      </w:r>
    </w:p>
    <w:p w:rsidR="001A3F62" w:rsidRDefault="001A3F62" w:rsidP="001A3F62">
      <w:pPr>
        <w:spacing w:before="80" w:after="80"/>
      </w:pPr>
    </w:p>
    <w:p w:rsidR="001A3F62" w:rsidRDefault="001A3F62" w:rsidP="001A3F62">
      <w:pPr>
        <w:numPr>
          <w:ilvl w:val="0"/>
          <w:numId w:val="8"/>
        </w:numPr>
        <w:spacing w:before="80" w:after="80"/>
      </w:pPr>
      <w:r>
        <w:t xml:space="preserve">The Committee requested the phrase ‘one or more’ on page 3 of the PIS be clarified to specify exactly how many questionnaires participants would be asked to complete. </w:t>
      </w:r>
    </w:p>
    <w:p w:rsidR="001A3F62" w:rsidRDefault="001A3F62" w:rsidP="001A3F62">
      <w:pPr>
        <w:spacing w:before="80" w:after="80"/>
      </w:pPr>
    </w:p>
    <w:p w:rsidR="001A3F62" w:rsidRDefault="001A3F62" w:rsidP="001A3F62">
      <w:pPr>
        <w:numPr>
          <w:ilvl w:val="0"/>
          <w:numId w:val="8"/>
        </w:numPr>
      </w:pPr>
      <w:r>
        <w:t xml:space="preserve">The Committee requested the inclusion of a cultural tissue statement to the PIS. The Committee recommended the following statement: </w:t>
      </w:r>
    </w:p>
    <w:p w:rsidR="001A3F62" w:rsidRPr="007D358E" w:rsidRDefault="001A3F62" w:rsidP="001A3F62">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rsidR="00F36432" w:rsidRPr="001A3F62" w:rsidRDefault="001A3F62" w:rsidP="001A3F62">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rsidR="00F36432" w:rsidRDefault="00F36432" w:rsidP="00F36432">
      <w:pPr>
        <w:spacing w:before="80" w:after="80"/>
      </w:pPr>
    </w:p>
    <w:p w:rsidR="00F36432" w:rsidRPr="00FD2B1E" w:rsidRDefault="00F36432" w:rsidP="00F36432">
      <w:pPr>
        <w:rPr>
          <w:u w:val="single"/>
          <w:lang w:val="en-NZ"/>
        </w:rPr>
      </w:pPr>
      <w:r w:rsidRPr="00FD2B1E">
        <w:rPr>
          <w:u w:val="single"/>
          <w:lang w:val="en-NZ"/>
        </w:rPr>
        <w:t xml:space="preserve">Decision </w:t>
      </w:r>
    </w:p>
    <w:p w:rsidR="00F36432" w:rsidRPr="00960BFE" w:rsidRDefault="00F36432" w:rsidP="00F36432">
      <w:pPr>
        <w:rPr>
          <w:lang w:val="en-NZ"/>
        </w:rPr>
      </w:pPr>
    </w:p>
    <w:p w:rsidR="00F36432" w:rsidRPr="001A3F62" w:rsidRDefault="00F36432" w:rsidP="00F36432">
      <w:pPr>
        <w:rPr>
          <w:lang w:val="en-NZ"/>
        </w:rPr>
      </w:pPr>
      <w:r w:rsidRPr="00960BFE">
        <w:rPr>
          <w:lang w:val="en-NZ"/>
        </w:rPr>
        <w:t xml:space="preserve">This </w:t>
      </w:r>
      <w:r w:rsidRPr="001A3F62">
        <w:rPr>
          <w:lang w:val="en-NZ"/>
        </w:rPr>
        <w:t xml:space="preserve">application was </w:t>
      </w:r>
      <w:r w:rsidRPr="001A3F62">
        <w:rPr>
          <w:i/>
          <w:lang w:val="en-NZ"/>
        </w:rPr>
        <w:t>approved</w:t>
      </w:r>
      <w:r w:rsidRPr="001A3F62">
        <w:rPr>
          <w:lang w:val="en-NZ"/>
        </w:rPr>
        <w:t xml:space="preserve"> by </w:t>
      </w:r>
      <w:r w:rsidRPr="001A3F62">
        <w:rPr>
          <w:rFonts w:cs="Arial"/>
          <w:szCs w:val="22"/>
          <w:lang w:val="en-NZ"/>
        </w:rPr>
        <w:t>consensus, subject to the following non-standard conditions:</w:t>
      </w:r>
    </w:p>
    <w:p w:rsidR="00F36432" w:rsidRPr="001A3F62" w:rsidRDefault="00F36432" w:rsidP="00F36432">
      <w:pPr>
        <w:rPr>
          <w:lang w:val="en-NZ"/>
        </w:rPr>
      </w:pPr>
    </w:p>
    <w:p w:rsidR="001A3F62" w:rsidRPr="001A3F62" w:rsidRDefault="001A3F62" w:rsidP="001A3F62">
      <w:pPr>
        <w:numPr>
          <w:ilvl w:val="0"/>
          <w:numId w:val="5"/>
        </w:numPr>
        <w:autoSpaceDE w:val="0"/>
        <w:autoSpaceDN w:val="0"/>
        <w:adjustRightInd w:val="0"/>
        <w:rPr>
          <w:rFonts w:cs="Arial"/>
        </w:rPr>
      </w:pPr>
      <w:r w:rsidRPr="001A3F62">
        <w:rPr>
          <w:rFonts w:cs="Arial"/>
        </w:rPr>
        <w:t xml:space="preserve">Please update the participant information sheet and consent form, taking into account feedback provided by the Committee. </w:t>
      </w:r>
      <w:r w:rsidRPr="001A3F62">
        <w:rPr>
          <w:rFonts w:cs="Arial"/>
          <w:i/>
        </w:rPr>
        <w:t xml:space="preserve">(National Ethical Standards for Health and Disability Research and Quality Improvement, para 7.15 – 7.17).  </w:t>
      </w:r>
    </w:p>
    <w:p w:rsidR="006E1622" w:rsidRDefault="006E1622" w:rsidP="004A4A34">
      <w:pPr>
        <w:tabs>
          <w:tab w:val="left" w:pos="8025"/>
        </w:tabs>
        <w:spacing w:before="80" w:after="80"/>
      </w:pPr>
    </w:p>
    <w:p w:rsidR="000676FB" w:rsidRDefault="000676FB" w:rsidP="004A4A34">
      <w:pPr>
        <w:tabs>
          <w:tab w:val="left" w:pos="8025"/>
        </w:tabs>
        <w:spacing w:before="80" w:after="80"/>
      </w:pPr>
    </w:p>
    <w:p w:rsidR="00F36432" w:rsidRPr="00960BFE" w:rsidRDefault="00F36432" w:rsidP="001B1AB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rPr>
                <w:b/>
              </w:rPr>
              <w:t>20/CEN/61</w:t>
            </w:r>
            <w:r w:rsidRPr="00960BFE">
              <w:t xml:space="preserv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Title: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IMG-7289-CTP-201 Phase 2 Essential Thrombocythemia study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Principal Investigator: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Dr James Liang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Sponsor: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INC Research Australia Pty Ltd (</w:t>
            </w:r>
            <w:proofErr w:type="spellStart"/>
            <w:r w:rsidRPr="00960BFE">
              <w:t>Syneos</w:t>
            </w:r>
            <w:proofErr w:type="spellEnd"/>
            <w:r w:rsidRPr="00960BFE">
              <w:t xml:space="preserve"> Health NZ L </w:t>
            </w:r>
          </w:p>
        </w:tc>
        <w:tc>
          <w:tcPr>
            <w:tcW w:w="360" w:type="dxa"/>
          </w:tcPr>
          <w:p w:rsidR="00F36432" w:rsidRPr="00960BFE" w:rsidRDefault="00F36432">
            <w:r w:rsidRPr="00960BFE">
              <w:t xml:space="preserve"> </w:t>
            </w:r>
          </w:p>
        </w:tc>
      </w:tr>
      <w:tr w:rsidR="00F36432" w:rsidRPr="00FD5139">
        <w:trPr>
          <w:trHeight w:val="280"/>
        </w:trPr>
        <w:tc>
          <w:tcPr>
            <w:tcW w:w="966" w:type="dxa"/>
            <w:tcBorders>
              <w:top w:val="nil"/>
              <w:left w:val="nil"/>
              <w:bottom w:val="nil"/>
              <w:right w:val="nil"/>
            </w:tcBorders>
          </w:tcPr>
          <w:p w:rsidR="00F36432" w:rsidRPr="00FD5139" w:rsidRDefault="00F36432" w:rsidP="001B1ABA">
            <w:pPr>
              <w:autoSpaceDE w:val="0"/>
              <w:autoSpaceDN w:val="0"/>
              <w:adjustRightInd w:val="0"/>
            </w:pPr>
            <w:r w:rsidRPr="00FD5139">
              <w:t xml:space="preserve"> </w:t>
            </w:r>
          </w:p>
        </w:tc>
        <w:tc>
          <w:tcPr>
            <w:tcW w:w="2575" w:type="dxa"/>
            <w:tcBorders>
              <w:top w:val="nil"/>
              <w:left w:val="nil"/>
              <w:bottom w:val="nil"/>
              <w:right w:val="nil"/>
            </w:tcBorders>
          </w:tcPr>
          <w:p w:rsidR="00F36432" w:rsidRPr="00FD5139" w:rsidRDefault="00F36432" w:rsidP="001B1ABA">
            <w:pPr>
              <w:autoSpaceDE w:val="0"/>
              <w:autoSpaceDN w:val="0"/>
              <w:adjustRightInd w:val="0"/>
            </w:pPr>
            <w:r w:rsidRPr="00FD5139">
              <w:t xml:space="preserve">Clock Start Date: </w:t>
            </w:r>
          </w:p>
        </w:tc>
        <w:tc>
          <w:tcPr>
            <w:tcW w:w="6459" w:type="dxa"/>
            <w:tcBorders>
              <w:top w:val="nil"/>
              <w:left w:val="nil"/>
              <w:bottom w:val="nil"/>
              <w:right w:val="nil"/>
            </w:tcBorders>
          </w:tcPr>
          <w:p w:rsidR="00F36432" w:rsidRPr="00FD5139" w:rsidRDefault="00F36432" w:rsidP="001B1ABA">
            <w:pPr>
              <w:autoSpaceDE w:val="0"/>
              <w:autoSpaceDN w:val="0"/>
              <w:adjustRightInd w:val="0"/>
            </w:pPr>
            <w:r w:rsidRPr="00FD5139">
              <w:t xml:space="preserve">12 March 2020 </w:t>
            </w:r>
          </w:p>
        </w:tc>
        <w:tc>
          <w:tcPr>
            <w:tcW w:w="360" w:type="dxa"/>
          </w:tcPr>
          <w:p w:rsidR="00F36432" w:rsidRPr="00FD5139" w:rsidRDefault="00F36432">
            <w:r w:rsidRPr="00FD5139">
              <w:t xml:space="preserve"> </w:t>
            </w:r>
          </w:p>
        </w:tc>
      </w:tr>
    </w:tbl>
    <w:p w:rsidR="00F36432" w:rsidRPr="00FD5139" w:rsidRDefault="00F36432" w:rsidP="001B1ABA">
      <w:pPr>
        <w:autoSpaceDE w:val="0"/>
        <w:autoSpaceDN w:val="0"/>
        <w:adjustRightInd w:val="0"/>
      </w:pPr>
      <w:r w:rsidRPr="00FD5139">
        <w:t xml:space="preserve"> </w:t>
      </w:r>
    </w:p>
    <w:p w:rsidR="00F36432" w:rsidRPr="00FD5139" w:rsidRDefault="00083D73" w:rsidP="00F36432">
      <w:pPr>
        <w:autoSpaceDE w:val="0"/>
        <w:autoSpaceDN w:val="0"/>
        <w:adjustRightInd w:val="0"/>
        <w:rPr>
          <w:sz w:val="20"/>
          <w:lang w:val="en-NZ"/>
        </w:rPr>
      </w:pPr>
      <w:r w:rsidRPr="00FD5139">
        <w:rPr>
          <w:rFonts w:cs="Arial"/>
          <w:szCs w:val="22"/>
          <w:lang w:val="en-NZ"/>
        </w:rPr>
        <w:t>Dr James Liang</w:t>
      </w:r>
      <w:r w:rsidR="00FD5139" w:rsidRPr="00FD5139">
        <w:rPr>
          <w:rFonts w:cs="Arial"/>
          <w:szCs w:val="22"/>
          <w:lang w:val="en-NZ"/>
        </w:rPr>
        <w:t xml:space="preserve"> and Mrs Catherine Howie</w:t>
      </w:r>
      <w:r w:rsidR="00F36432" w:rsidRPr="00FD5139">
        <w:rPr>
          <w:lang w:val="en-NZ"/>
        </w:rPr>
        <w:t xml:space="preserve"> </w:t>
      </w:r>
      <w:r w:rsidR="00FD5139" w:rsidRPr="00FD5139">
        <w:rPr>
          <w:lang w:val="en-NZ"/>
        </w:rPr>
        <w:t>were</w:t>
      </w:r>
      <w:r w:rsidR="00F36432" w:rsidRPr="00FD5139">
        <w:rPr>
          <w:lang w:val="en-NZ"/>
        </w:rPr>
        <w:t xml:space="preserve"> present</w:t>
      </w:r>
      <w:r w:rsidRPr="00FD5139">
        <w:rPr>
          <w:lang w:val="en-NZ"/>
        </w:rPr>
        <w:t xml:space="preserve"> </w:t>
      </w:r>
      <w:r w:rsidR="00F36432" w:rsidRPr="00FD5139">
        <w:rPr>
          <w:lang w:val="en-NZ"/>
        </w:rPr>
        <w:t>for discussion of this application.</w:t>
      </w:r>
    </w:p>
    <w:p w:rsidR="00F36432" w:rsidRPr="00FD5139" w:rsidRDefault="00F36432" w:rsidP="00F36432">
      <w:pPr>
        <w:rPr>
          <w:u w:val="single"/>
          <w:lang w:val="en-NZ"/>
        </w:rPr>
      </w:pPr>
    </w:p>
    <w:p w:rsidR="00F36432" w:rsidRPr="00FD5139" w:rsidRDefault="00F36432" w:rsidP="00F36432">
      <w:pPr>
        <w:rPr>
          <w:u w:val="single"/>
          <w:lang w:val="en-NZ"/>
        </w:rPr>
      </w:pPr>
      <w:r w:rsidRPr="00FD5139">
        <w:rPr>
          <w:u w:val="single"/>
          <w:lang w:val="en-NZ"/>
        </w:rPr>
        <w:t>Potential conflicts of interest</w:t>
      </w:r>
    </w:p>
    <w:p w:rsidR="00F36432" w:rsidRPr="008869BB" w:rsidRDefault="00F36432" w:rsidP="00F36432">
      <w:pPr>
        <w:rPr>
          <w:b/>
          <w:lang w:val="en-NZ"/>
        </w:rPr>
      </w:pPr>
    </w:p>
    <w:p w:rsidR="00F36432" w:rsidRPr="00960BFE" w:rsidRDefault="00F36432" w:rsidP="00F36432">
      <w:pPr>
        <w:rPr>
          <w:lang w:val="en-NZ"/>
        </w:rPr>
      </w:pPr>
      <w:r w:rsidRPr="00960BFE">
        <w:rPr>
          <w:lang w:val="en-NZ"/>
        </w:rPr>
        <w:t>The Chair asked members to declare any potential conflicts of interest related to this application.</w:t>
      </w:r>
    </w:p>
    <w:p w:rsidR="00F36432" w:rsidRPr="00960BFE" w:rsidRDefault="00F36432" w:rsidP="00F36432">
      <w:pPr>
        <w:rPr>
          <w:lang w:val="en-NZ"/>
        </w:rPr>
      </w:pPr>
    </w:p>
    <w:p w:rsidR="00F36432" w:rsidRDefault="00F36432" w:rsidP="00F36432">
      <w:pPr>
        <w:rPr>
          <w:lang w:val="en-NZ"/>
        </w:rPr>
      </w:pPr>
      <w:r w:rsidRPr="00FD2B1E">
        <w:rPr>
          <w:lang w:val="en-NZ"/>
        </w:rPr>
        <w:t>No potential conflicts</w:t>
      </w:r>
      <w:r w:rsidRPr="00960BFE">
        <w:rPr>
          <w:lang w:val="en-NZ"/>
        </w:rPr>
        <w:t xml:space="preserve"> of interest related to this application were declared by any member.</w:t>
      </w:r>
    </w:p>
    <w:p w:rsidR="00F36432" w:rsidRDefault="00F36432" w:rsidP="00F36432">
      <w:pPr>
        <w:rPr>
          <w:lang w:val="en-NZ"/>
        </w:rPr>
      </w:pPr>
    </w:p>
    <w:p w:rsidR="00F36432" w:rsidRPr="00960BFE" w:rsidRDefault="00F36432" w:rsidP="00F36432">
      <w:pPr>
        <w:rPr>
          <w:lang w:val="en-NZ"/>
        </w:rPr>
      </w:pPr>
    </w:p>
    <w:p w:rsidR="00F36432" w:rsidRDefault="00F36432" w:rsidP="00F36432">
      <w:pPr>
        <w:rPr>
          <w:u w:val="single"/>
          <w:lang w:val="en-NZ"/>
        </w:rPr>
      </w:pPr>
      <w:r w:rsidRPr="001C059D">
        <w:rPr>
          <w:u w:val="single"/>
          <w:lang w:val="en-NZ"/>
        </w:rPr>
        <w:t>Summary of Study</w:t>
      </w:r>
    </w:p>
    <w:p w:rsidR="00F36432" w:rsidRDefault="00F36432" w:rsidP="00F36432">
      <w:pPr>
        <w:rPr>
          <w:u w:val="single"/>
          <w:lang w:val="en-NZ"/>
        </w:rPr>
      </w:pPr>
    </w:p>
    <w:p w:rsidR="00504A7B" w:rsidRPr="00504A7B" w:rsidRDefault="00504A7B" w:rsidP="00AB6059">
      <w:pPr>
        <w:pStyle w:val="ListParagraph"/>
        <w:numPr>
          <w:ilvl w:val="0"/>
          <w:numId w:val="9"/>
        </w:numPr>
        <w:rPr>
          <w:lang w:val="en-NZ"/>
        </w:rPr>
      </w:pPr>
      <w:r w:rsidRPr="00504A7B">
        <w:rPr>
          <w:lang w:val="en-NZ"/>
        </w:rPr>
        <w:t xml:space="preserve">Essential </w:t>
      </w:r>
      <w:proofErr w:type="spellStart"/>
      <w:r w:rsidRPr="00504A7B">
        <w:rPr>
          <w:lang w:val="en-NZ"/>
        </w:rPr>
        <w:t>thrombocythaemia</w:t>
      </w:r>
      <w:proofErr w:type="spellEnd"/>
      <w:r w:rsidRPr="00504A7B">
        <w:rPr>
          <w:lang w:val="en-NZ"/>
        </w:rPr>
        <w:t xml:space="preserve"> (ET) is slow paced haematological cancer characterised by over production of platelets in the blood stream (the main cell in blood that forms blood clot), which leads to increase in blood clots and bleeding, resulting in premature development of strokes, heart disease and related disorder. There is 1% per year risk of transformation to myelofibrosis and acute myeloid leukaemia (respectively). The main comorbidity from ET is the blood clotting and bleeding risk from the excessive platelet production from megakaryocytes. </w:t>
      </w:r>
    </w:p>
    <w:p w:rsidR="0069646A" w:rsidRDefault="0069646A" w:rsidP="0069646A">
      <w:pPr>
        <w:pStyle w:val="ListParagraph"/>
        <w:rPr>
          <w:lang w:val="en-NZ"/>
        </w:rPr>
      </w:pPr>
    </w:p>
    <w:p w:rsidR="0069646A" w:rsidRDefault="00504A7B" w:rsidP="00AB6059">
      <w:pPr>
        <w:pStyle w:val="ListParagraph"/>
        <w:numPr>
          <w:ilvl w:val="0"/>
          <w:numId w:val="9"/>
        </w:numPr>
        <w:rPr>
          <w:lang w:val="en-NZ"/>
        </w:rPr>
      </w:pPr>
      <w:r w:rsidRPr="00504A7B">
        <w:rPr>
          <w:lang w:val="en-NZ"/>
        </w:rPr>
        <w:t xml:space="preserve">IMG -7289, a new oral agent, acts on cancer cells to make them mature into normal cells. By inhibiting LSD1, IMG- 7289 may decrease platelet number and lower cytokine (inflammatory proteins) levels. About 40 ET patients requiring platelet control that have </w:t>
      </w:r>
    </w:p>
    <w:p w:rsidR="00504A7B" w:rsidRPr="00504A7B" w:rsidRDefault="00504A7B" w:rsidP="0069646A">
      <w:pPr>
        <w:pStyle w:val="ListParagraph"/>
        <w:rPr>
          <w:lang w:val="en-NZ"/>
        </w:rPr>
      </w:pPr>
      <w:r w:rsidRPr="00504A7B">
        <w:rPr>
          <w:lang w:val="en-NZ"/>
        </w:rPr>
        <w:t>failed at least one standard therapy will be treated.</w:t>
      </w:r>
    </w:p>
    <w:p w:rsidR="0069646A" w:rsidRDefault="0069646A" w:rsidP="0069646A">
      <w:pPr>
        <w:pStyle w:val="ListParagraph"/>
        <w:rPr>
          <w:lang w:val="en-NZ"/>
        </w:rPr>
      </w:pPr>
    </w:p>
    <w:p w:rsidR="00504A7B" w:rsidRPr="00504A7B" w:rsidRDefault="00504A7B" w:rsidP="00AB6059">
      <w:pPr>
        <w:pStyle w:val="ListParagraph"/>
        <w:numPr>
          <w:ilvl w:val="0"/>
          <w:numId w:val="9"/>
        </w:numPr>
        <w:rPr>
          <w:lang w:val="en-NZ"/>
        </w:rPr>
      </w:pPr>
      <w:r w:rsidRPr="00504A7B">
        <w:rPr>
          <w:lang w:val="en-NZ"/>
        </w:rPr>
        <w:t xml:space="preserve">The study aims to learn the following about IMG-7289 in patients with ET: </w:t>
      </w:r>
    </w:p>
    <w:p w:rsidR="0069646A" w:rsidRDefault="0069646A" w:rsidP="0069646A">
      <w:pPr>
        <w:pStyle w:val="ListParagraph"/>
        <w:rPr>
          <w:lang w:val="en-NZ"/>
        </w:rPr>
      </w:pPr>
    </w:p>
    <w:p w:rsidR="00504A7B" w:rsidRPr="00504A7B" w:rsidRDefault="00504A7B" w:rsidP="0069646A">
      <w:pPr>
        <w:pStyle w:val="ListParagraph"/>
        <w:rPr>
          <w:lang w:val="en-NZ"/>
        </w:rPr>
      </w:pPr>
      <w:r w:rsidRPr="00504A7B">
        <w:rPr>
          <w:lang w:val="en-NZ"/>
        </w:rPr>
        <w:t>• Its effectiveness, including changes in blood counts and disease-related symptoms</w:t>
      </w:r>
    </w:p>
    <w:p w:rsidR="00504A7B" w:rsidRPr="00504A7B" w:rsidRDefault="00504A7B" w:rsidP="0069646A">
      <w:pPr>
        <w:pStyle w:val="ListParagraph"/>
        <w:rPr>
          <w:lang w:val="en-NZ"/>
        </w:rPr>
      </w:pPr>
      <w:r w:rsidRPr="00504A7B">
        <w:rPr>
          <w:lang w:val="en-NZ"/>
        </w:rPr>
        <w:t xml:space="preserve">• Its safety and tolerability </w:t>
      </w:r>
    </w:p>
    <w:p w:rsidR="00504A7B" w:rsidRPr="00504A7B" w:rsidRDefault="00504A7B" w:rsidP="0069646A">
      <w:pPr>
        <w:pStyle w:val="ListParagraph"/>
        <w:rPr>
          <w:lang w:val="en-NZ"/>
        </w:rPr>
      </w:pPr>
      <w:r w:rsidRPr="00504A7B">
        <w:rPr>
          <w:lang w:val="en-NZ"/>
        </w:rPr>
        <w:t>• How to dose adjust IMG-7289 to have the best impact on each patient’s disease</w:t>
      </w:r>
    </w:p>
    <w:p w:rsidR="0069646A" w:rsidRDefault="0069646A" w:rsidP="0069646A">
      <w:pPr>
        <w:pStyle w:val="ListParagraph"/>
        <w:rPr>
          <w:lang w:val="en-NZ"/>
        </w:rPr>
      </w:pPr>
    </w:p>
    <w:p w:rsidR="00504A7B" w:rsidRPr="00504A7B" w:rsidRDefault="00504A7B" w:rsidP="00AB6059">
      <w:pPr>
        <w:pStyle w:val="ListParagraph"/>
        <w:numPr>
          <w:ilvl w:val="0"/>
          <w:numId w:val="9"/>
        </w:numPr>
        <w:rPr>
          <w:lang w:val="en-NZ"/>
        </w:rPr>
      </w:pPr>
      <w:r w:rsidRPr="00504A7B">
        <w:rPr>
          <w:lang w:val="en-NZ"/>
        </w:rPr>
        <w:t xml:space="preserve">This is a multi-centre, open-label study with two treatment periods that will run for 2 years: </w:t>
      </w:r>
    </w:p>
    <w:p w:rsidR="00504A7B" w:rsidRPr="00504A7B" w:rsidRDefault="00504A7B" w:rsidP="0069646A">
      <w:pPr>
        <w:pStyle w:val="ListParagraph"/>
        <w:rPr>
          <w:lang w:val="en-NZ"/>
        </w:rPr>
      </w:pPr>
      <w:r w:rsidRPr="00504A7B">
        <w:rPr>
          <w:lang w:val="en-NZ"/>
        </w:rPr>
        <w:t xml:space="preserve">The Initial Treatment Period is up to 24 weeks of treatment, with an Additional Treatment Period that allows qualifying patients to continue dosing for repeating </w:t>
      </w:r>
      <w:proofErr w:type="gramStart"/>
      <w:r w:rsidRPr="00504A7B">
        <w:rPr>
          <w:lang w:val="en-NZ"/>
        </w:rPr>
        <w:t>24 week</w:t>
      </w:r>
      <w:proofErr w:type="gramEnd"/>
      <w:r w:rsidRPr="00504A7B">
        <w:rPr>
          <w:lang w:val="en-NZ"/>
        </w:rPr>
        <w:t xml:space="preserve"> treatment periods. All patients commence treatment at 0.6 mg/kg/d with up and down titrations contingent on blood counts.</w:t>
      </w:r>
    </w:p>
    <w:p w:rsidR="00504A7B" w:rsidRPr="00504A7B" w:rsidRDefault="00504A7B" w:rsidP="0069646A">
      <w:pPr>
        <w:pStyle w:val="ListParagraph"/>
        <w:rPr>
          <w:lang w:val="en-NZ"/>
        </w:rPr>
      </w:pPr>
    </w:p>
    <w:p w:rsidR="00F36432" w:rsidRPr="00781421" w:rsidRDefault="00504A7B" w:rsidP="00AB6059">
      <w:pPr>
        <w:pStyle w:val="ListParagraph"/>
        <w:numPr>
          <w:ilvl w:val="0"/>
          <w:numId w:val="9"/>
        </w:numPr>
        <w:rPr>
          <w:u w:val="single"/>
          <w:lang w:val="en-NZ"/>
        </w:rPr>
      </w:pPr>
      <w:r w:rsidRPr="00504A7B">
        <w:rPr>
          <w:lang w:val="en-NZ"/>
        </w:rPr>
        <w:t xml:space="preserve">AE's will be monitored via clinical signs/symptoms and safety labs, and pharmacodynamic (PD) effects by </w:t>
      </w:r>
      <w:proofErr w:type="spellStart"/>
      <w:r w:rsidRPr="00504A7B">
        <w:rPr>
          <w:lang w:val="en-NZ"/>
        </w:rPr>
        <w:t>hematology</w:t>
      </w:r>
      <w:proofErr w:type="spellEnd"/>
      <w:r w:rsidRPr="00504A7B">
        <w:rPr>
          <w:lang w:val="en-NZ"/>
        </w:rPr>
        <w:t xml:space="preserve"> assessments and bone marrow aspirates/biopsies. Symptom burden and quality of life will be assessed using validated instruments, the PGIC and MPN-SAF. A Safety Advisory Board meets at least quarterly.</w:t>
      </w:r>
    </w:p>
    <w:p w:rsidR="00F36432" w:rsidRDefault="00F36432" w:rsidP="00F36432">
      <w:pPr>
        <w:autoSpaceDE w:val="0"/>
        <w:autoSpaceDN w:val="0"/>
        <w:adjustRightInd w:val="0"/>
        <w:rPr>
          <w:lang w:val="en-NZ"/>
        </w:rPr>
      </w:pPr>
    </w:p>
    <w:p w:rsidR="00F36432" w:rsidRDefault="00F36432" w:rsidP="00F36432">
      <w:pPr>
        <w:rPr>
          <w:u w:val="single"/>
          <w:lang w:val="en-NZ"/>
        </w:rPr>
      </w:pPr>
      <w:r w:rsidRPr="001C059D">
        <w:rPr>
          <w:u w:val="single"/>
          <w:lang w:val="en-NZ"/>
        </w:rPr>
        <w:t>Summary of</w:t>
      </w:r>
      <w:r>
        <w:rPr>
          <w:u w:val="single"/>
          <w:lang w:val="en-NZ"/>
        </w:rPr>
        <w:t xml:space="preserve"> </w:t>
      </w:r>
      <w:r w:rsidR="00FD5139">
        <w:rPr>
          <w:u w:val="single"/>
          <w:lang w:val="en-NZ"/>
        </w:rPr>
        <w:t>outstanding</w:t>
      </w:r>
      <w:r>
        <w:rPr>
          <w:u w:val="single"/>
          <w:lang w:val="en-NZ"/>
        </w:rPr>
        <w:t xml:space="preserve"> ethical issues </w:t>
      </w:r>
    </w:p>
    <w:p w:rsidR="00F36432" w:rsidRDefault="00F36432" w:rsidP="00F36432">
      <w:pPr>
        <w:rPr>
          <w:u w:val="single"/>
          <w:lang w:val="en-NZ"/>
        </w:rPr>
      </w:pPr>
    </w:p>
    <w:p w:rsidR="00F36432" w:rsidRPr="000A1C67" w:rsidRDefault="00F36432" w:rsidP="00F36432">
      <w:pPr>
        <w:rPr>
          <w:lang w:val="en-NZ"/>
        </w:rPr>
      </w:pPr>
      <w:r w:rsidRPr="000A1C67">
        <w:rPr>
          <w:lang w:val="en-NZ"/>
        </w:rPr>
        <w:t xml:space="preserve">The main ethical issues considered by the Committee </w:t>
      </w:r>
      <w:r w:rsidR="00FD5139">
        <w:rPr>
          <w:lang w:val="en-NZ"/>
        </w:rPr>
        <w:t xml:space="preserve">which require addressing </w:t>
      </w:r>
      <w:r w:rsidRPr="000A1C67">
        <w:rPr>
          <w:lang w:val="en-NZ"/>
        </w:rPr>
        <w:t>by the Researcher</w:t>
      </w:r>
      <w:r>
        <w:rPr>
          <w:lang w:val="en-NZ"/>
        </w:rPr>
        <w:t xml:space="preserve"> are</w:t>
      </w:r>
      <w:r w:rsidRPr="000A1C67">
        <w:rPr>
          <w:lang w:val="en-NZ"/>
        </w:rPr>
        <w:t xml:space="preserve"> as follows.</w:t>
      </w:r>
    </w:p>
    <w:p w:rsidR="00F36432" w:rsidRDefault="00F36432" w:rsidP="00F36432">
      <w:pPr>
        <w:rPr>
          <w:u w:val="single"/>
          <w:lang w:val="en-NZ"/>
        </w:rPr>
      </w:pPr>
    </w:p>
    <w:p w:rsidR="00FD5139" w:rsidRPr="0069646A" w:rsidRDefault="00FD5139" w:rsidP="00FD5139">
      <w:pPr>
        <w:numPr>
          <w:ilvl w:val="0"/>
          <w:numId w:val="9"/>
        </w:numPr>
        <w:spacing w:before="80" w:after="80"/>
      </w:pPr>
      <w:r w:rsidRPr="0069646A">
        <w:lastRenderedPageBreak/>
        <w:t xml:space="preserve">The Committee queried what reimbursement would be offered to participants. The Researcher stated about $20 per visit for carparking at Middlemore Hospital. The Committee requested this be explained in the PIS. </w:t>
      </w:r>
    </w:p>
    <w:p w:rsidR="00FD5139" w:rsidRPr="0069646A" w:rsidRDefault="00FD5139" w:rsidP="00FD5139">
      <w:pPr>
        <w:spacing w:before="80" w:after="80"/>
      </w:pPr>
    </w:p>
    <w:p w:rsidR="00FD5139" w:rsidRPr="0069646A" w:rsidRDefault="00FD5139" w:rsidP="00FD5139">
      <w:pPr>
        <w:numPr>
          <w:ilvl w:val="0"/>
          <w:numId w:val="9"/>
        </w:numPr>
        <w:spacing w:before="80" w:after="80"/>
      </w:pPr>
      <w:r w:rsidRPr="0069646A">
        <w:t xml:space="preserve">The Committee requested a statement in the PIS explaining to participants they have the right to access and correct information held about them. </w:t>
      </w:r>
    </w:p>
    <w:p w:rsidR="00FD5139" w:rsidRPr="0069646A" w:rsidRDefault="00FD5139" w:rsidP="00FD5139">
      <w:pPr>
        <w:spacing w:before="80" w:after="80"/>
      </w:pPr>
    </w:p>
    <w:p w:rsidR="00FD5139" w:rsidRPr="0069646A" w:rsidRDefault="00FD5139" w:rsidP="00FD5139">
      <w:pPr>
        <w:numPr>
          <w:ilvl w:val="0"/>
          <w:numId w:val="9"/>
        </w:numPr>
        <w:spacing w:before="80" w:after="80"/>
      </w:pPr>
      <w:r w:rsidRPr="0069646A">
        <w:t xml:space="preserve">The Committee queried the likelihood of a participant becoming pregnant. The Researcher stated it was unlikely as most would have already received chemotherapy, although it was possible. The Committee stated if the study would want to follow-up a pregnant participant this would need an additional PIS. Alternatively, if the probability is very low an amendment for a pregnancy PIS could be submitted </w:t>
      </w:r>
      <w:r>
        <w:t xml:space="preserve">once the study has begun should a participant become pregnant. </w:t>
      </w:r>
    </w:p>
    <w:p w:rsidR="00FD5139" w:rsidRDefault="00FD5139" w:rsidP="00FD5139">
      <w:pPr>
        <w:pStyle w:val="ListParagraph"/>
        <w:rPr>
          <w:rFonts w:cs="Arial"/>
          <w:color w:val="33CCCC"/>
          <w:szCs w:val="22"/>
          <w:lang w:val="en-NZ"/>
        </w:rPr>
      </w:pPr>
    </w:p>
    <w:p w:rsidR="00FD5139" w:rsidRDefault="00FD5139" w:rsidP="00FD5139">
      <w:pPr>
        <w:numPr>
          <w:ilvl w:val="0"/>
          <w:numId w:val="9"/>
        </w:numPr>
        <w:spacing w:before="80" w:after="80"/>
      </w:pPr>
      <w:r>
        <w:t xml:space="preserve">The Committee requested an option on the consent form for participants to receive a lay summary of the study results when available. </w:t>
      </w:r>
    </w:p>
    <w:p w:rsidR="00FD5139" w:rsidRDefault="00FD5139" w:rsidP="00FD5139">
      <w:pPr>
        <w:spacing w:before="80" w:after="80"/>
      </w:pPr>
    </w:p>
    <w:p w:rsidR="00FD5139" w:rsidRDefault="00FD5139" w:rsidP="00FD5139">
      <w:pPr>
        <w:numPr>
          <w:ilvl w:val="0"/>
          <w:numId w:val="9"/>
        </w:numPr>
        <w:spacing w:before="80" w:after="80"/>
        <w:rPr>
          <w:rFonts w:cs="Arial"/>
          <w:color w:val="33CCCC"/>
          <w:szCs w:val="22"/>
          <w:lang w:val="en-NZ"/>
        </w:rPr>
      </w:pPr>
      <w:r>
        <w:t xml:space="preserve">The Committee advised the researcher that the taking of bloods had cultural implications and requested the Researcher be mindful of this for future applications. The Committee thanked the Researcher for their response to question P.4.1. in the application and for providing helpful information. </w:t>
      </w:r>
    </w:p>
    <w:p w:rsidR="00F36432" w:rsidRPr="00CD03DE" w:rsidRDefault="00F36432" w:rsidP="0069646A">
      <w:pPr>
        <w:pStyle w:val="ListParagraph"/>
        <w:spacing w:before="80" w:after="80"/>
        <w:ind w:left="0"/>
      </w:pPr>
    </w:p>
    <w:p w:rsidR="00F36432" w:rsidRDefault="00F36432" w:rsidP="00F36432">
      <w:pPr>
        <w:spacing w:before="80" w:after="80"/>
      </w:pPr>
    </w:p>
    <w:p w:rsidR="00F36432" w:rsidRPr="00FD2B1E" w:rsidRDefault="00F36432" w:rsidP="00F36432">
      <w:pPr>
        <w:rPr>
          <w:u w:val="single"/>
          <w:lang w:val="en-NZ"/>
        </w:rPr>
      </w:pPr>
      <w:r w:rsidRPr="00FD2B1E">
        <w:rPr>
          <w:u w:val="single"/>
          <w:lang w:val="en-NZ"/>
        </w:rPr>
        <w:t xml:space="preserve">Decision </w:t>
      </w:r>
    </w:p>
    <w:p w:rsidR="00F36432" w:rsidRPr="00FD5139" w:rsidRDefault="00F36432" w:rsidP="00F36432">
      <w:pPr>
        <w:rPr>
          <w:lang w:val="en-NZ"/>
        </w:rPr>
      </w:pPr>
    </w:p>
    <w:p w:rsidR="00F36432" w:rsidRPr="00FD5139" w:rsidRDefault="00F36432" w:rsidP="00F36432">
      <w:pPr>
        <w:rPr>
          <w:lang w:val="en-NZ"/>
        </w:rPr>
      </w:pPr>
      <w:r w:rsidRPr="00FD5139">
        <w:rPr>
          <w:lang w:val="en-NZ"/>
        </w:rPr>
        <w:t xml:space="preserve">This application was </w:t>
      </w:r>
      <w:r w:rsidRPr="00FD5139">
        <w:rPr>
          <w:i/>
          <w:lang w:val="en-NZ"/>
        </w:rPr>
        <w:t>approved</w:t>
      </w:r>
      <w:r w:rsidRPr="00FD5139">
        <w:rPr>
          <w:lang w:val="en-NZ"/>
        </w:rPr>
        <w:t xml:space="preserve"> by </w:t>
      </w:r>
      <w:r w:rsidRPr="00FD5139">
        <w:rPr>
          <w:rFonts w:cs="Arial"/>
          <w:szCs w:val="22"/>
          <w:lang w:val="en-NZ"/>
        </w:rPr>
        <w:t>consensus, subject to the following non-standard conditions:</w:t>
      </w:r>
    </w:p>
    <w:p w:rsidR="00F36432" w:rsidRPr="00FD5139" w:rsidRDefault="00F36432" w:rsidP="00F36432">
      <w:pPr>
        <w:rPr>
          <w:lang w:val="en-NZ"/>
        </w:rPr>
      </w:pPr>
    </w:p>
    <w:p w:rsidR="00FD5139" w:rsidRPr="00FD5139" w:rsidRDefault="00FD5139" w:rsidP="00FD5139">
      <w:pPr>
        <w:numPr>
          <w:ilvl w:val="0"/>
          <w:numId w:val="5"/>
        </w:numPr>
        <w:autoSpaceDE w:val="0"/>
        <w:autoSpaceDN w:val="0"/>
        <w:adjustRightInd w:val="0"/>
        <w:rPr>
          <w:rFonts w:cs="Arial"/>
        </w:rPr>
      </w:pPr>
      <w:r w:rsidRPr="00FD5139">
        <w:rPr>
          <w:rFonts w:cs="Arial"/>
        </w:rPr>
        <w:t xml:space="preserve">Please update the participant information sheet and consent form, taking into account feedback provided by the Committee. </w:t>
      </w:r>
      <w:r w:rsidRPr="00FD5139">
        <w:rPr>
          <w:rFonts w:cs="Arial"/>
          <w:i/>
        </w:rPr>
        <w:t xml:space="preserve">(National Ethical Standards for Health and Disability Research and Quality Improvement, para 7.15 – 7.17).  </w:t>
      </w:r>
    </w:p>
    <w:p w:rsidR="00F36432" w:rsidRPr="00FD5139" w:rsidRDefault="00F36432" w:rsidP="00F36432">
      <w:pPr>
        <w:rPr>
          <w:lang w:val="en-NZ"/>
        </w:rPr>
      </w:pPr>
    </w:p>
    <w:p w:rsidR="003545AE" w:rsidRDefault="003545AE" w:rsidP="003545AE">
      <w:pPr>
        <w:pStyle w:val="ListParagraph"/>
        <w:rPr>
          <w:rFonts w:cs="Arial"/>
          <w:color w:val="33CCCC"/>
          <w:szCs w:val="22"/>
          <w:lang w:val="en-NZ"/>
        </w:rPr>
      </w:pPr>
    </w:p>
    <w:p w:rsidR="003545AE" w:rsidRDefault="003545AE" w:rsidP="003545AE">
      <w:pPr>
        <w:pStyle w:val="ListParagraph"/>
        <w:rPr>
          <w:rFonts w:cs="Arial"/>
          <w:color w:val="33CCCC"/>
          <w:szCs w:val="22"/>
          <w:lang w:val="en-NZ"/>
        </w:rPr>
      </w:pPr>
    </w:p>
    <w:p w:rsidR="003545AE" w:rsidRDefault="003545AE" w:rsidP="003545AE">
      <w:pPr>
        <w:pStyle w:val="ListParagraph"/>
        <w:rPr>
          <w:rFonts w:cs="Arial"/>
          <w:color w:val="33CCCC"/>
          <w:szCs w:val="22"/>
          <w:lang w:val="en-NZ"/>
        </w:rPr>
      </w:pPr>
    </w:p>
    <w:p w:rsidR="00F36432" w:rsidRPr="00960BFE" w:rsidRDefault="00F36432" w:rsidP="001B1AB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rPr>
                <w:b/>
              </w:rPr>
              <w:t>20/CEN/63</w:t>
            </w:r>
            <w:r w:rsidRPr="00960BFE">
              <w:t xml:space="preserv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Title: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Genetics of Stuttering Study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Principal Investigator: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Professor </w:t>
            </w:r>
            <w:proofErr w:type="gramStart"/>
            <w:r w:rsidRPr="00960BFE">
              <w:t xml:space="preserve">Lynette  </w:t>
            </w:r>
            <w:proofErr w:type="spellStart"/>
            <w:r w:rsidRPr="00960BFE">
              <w:t>Sadleir</w:t>
            </w:r>
            <w:proofErr w:type="spellEnd"/>
            <w:proofErr w:type="gramEnd"/>
            <w:r w:rsidRPr="00960BFE">
              <w:t xml:space="preserv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Sponsor: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360" w:type="dxa"/>
          </w:tcPr>
          <w:p w:rsidR="00F36432" w:rsidRPr="00960BFE" w:rsidRDefault="00F36432">
            <w:r w:rsidRPr="00960BFE">
              <w:t xml:space="preserve"> </w:t>
            </w:r>
          </w:p>
        </w:tc>
      </w:tr>
      <w:tr w:rsidR="00F36432" w:rsidRPr="00960BFE">
        <w:trPr>
          <w:trHeight w:val="280"/>
        </w:trPr>
        <w:tc>
          <w:tcPr>
            <w:tcW w:w="966" w:type="dxa"/>
            <w:tcBorders>
              <w:top w:val="nil"/>
              <w:left w:val="nil"/>
              <w:bottom w:val="nil"/>
              <w:right w:val="nil"/>
            </w:tcBorders>
          </w:tcPr>
          <w:p w:rsidR="00F36432" w:rsidRPr="00960BFE" w:rsidRDefault="00F36432" w:rsidP="001B1ABA">
            <w:pPr>
              <w:autoSpaceDE w:val="0"/>
              <w:autoSpaceDN w:val="0"/>
              <w:adjustRightInd w:val="0"/>
            </w:pPr>
            <w:r w:rsidRPr="00960BFE">
              <w:t xml:space="preserve"> </w:t>
            </w:r>
          </w:p>
        </w:tc>
        <w:tc>
          <w:tcPr>
            <w:tcW w:w="2575" w:type="dxa"/>
            <w:tcBorders>
              <w:top w:val="nil"/>
              <w:left w:val="nil"/>
              <w:bottom w:val="nil"/>
              <w:right w:val="nil"/>
            </w:tcBorders>
          </w:tcPr>
          <w:p w:rsidR="00F36432" w:rsidRPr="00960BFE" w:rsidRDefault="00F36432" w:rsidP="001B1ABA">
            <w:pPr>
              <w:autoSpaceDE w:val="0"/>
              <w:autoSpaceDN w:val="0"/>
              <w:adjustRightInd w:val="0"/>
            </w:pPr>
            <w:r w:rsidRPr="00960BFE">
              <w:t xml:space="preserve">Clock Start Date: </w:t>
            </w:r>
          </w:p>
        </w:tc>
        <w:tc>
          <w:tcPr>
            <w:tcW w:w="6459" w:type="dxa"/>
            <w:tcBorders>
              <w:top w:val="nil"/>
              <w:left w:val="nil"/>
              <w:bottom w:val="nil"/>
              <w:right w:val="nil"/>
            </w:tcBorders>
          </w:tcPr>
          <w:p w:rsidR="00F36432" w:rsidRPr="00960BFE" w:rsidRDefault="00F36432" w:rsidP="001B1ABA">
            <w:pPr>
              <w:autoSpaceDE w:val="0"/>
              <w:autoSpaceDN w:val="0"/>
              <w:adjustRightInd w:val="0"/>
            </w:pPr>
            <w:r w:rsidRPr="00960BFE">
              <w:t xml:space="preserve">12 March 2020 </w:t>
            </w:r>
          </w:p>
        </w:tc>
        <w:tc>
          <w:tcPr>
            <w:tcW w:w="360" w:type="dxa"/>
          </w:tcPr>
          <w:p w:rsidR="00F36432" w:rsidRPr="00960BFE" w:rsidRDefault="00F36432">
            <w:r w:rsidRPr="00960BFE">
              <w:t xml:space="preserve"> </w:t>
            </w:r>
          </w:p>
        </w:tc>
      </w:tr>
    </w:tbl>
    <w:p w:rsidR="00F36432" w:rsidRPr="00960BFE" w:rsidRDefault="00F36432" w:rsidP="001B1ABA">
      <w:pPr>
        <w:autoSpaceDE w:val="0"/>
        <w:autoSpaceDN w:val="0"/>
        <w:adjustRightInd w:val="0"/>
      </w:pPr>
      <w:r w:rsidRPr="00960BFE">
        <w:t xml:space="preserve"> </w:t>
      </w:r>
    </w:p>
    <w:p w:rsidR="00F36432" w:rsidRPr="00987913" w:rsidRDefault="00083D73" w:rsidP="00F36432">
      <w:pPr>
        <w:autoSpaceDE w:val="0"/>
        <w:autoSpaceDN w:val="0"/>
        <w:adjustRightInd w:val="0"/>
        <w:rPr>
          <w:sz w:val="20"/>
          <w:lang w:val="en-NZ"/>
        </w:rPr>
      </w:pPr>
      <w:r w:rsidRPr="00083D73">
        <w:rPr>
          <w:rFonts w:cs="Arial"/>
          <w:szCs w:val="22"/>
          <w:lang w:val="en-NZ"/>
        </w:rPr>
        <w:t xml:space="preserve">Professor Lynette </w:t>
      </w:r>
      <w:proofErr w:type="spellStart"/>
      <w:r w:rsidRPr="00083D73">
        <w:rPr>
          <w:rFonts w:cs="Arial"/>
          <w:szCs w:val="22"/>
          <w:lang w:val="en-NZ"/>
        </w:rPr>
        <w:t>Sadleir</w:t>
      </w:r>
      <w:proofErr w:type="spellEnd"/>
      <w:r w:rsidR="00F36432" w:rsidRPr="00083D73">
        <w:rPr>
          <w:lang w:val="en-NZ"/>
        </w:rPr>
        <w:t xml:space="preserve"> was present</w:t>
      </w:r>
      <w:r w:rsidRPr="00083D73">
        <w:rPr>
          <w:lang w:val="en-NZ"/>
        </w:rPr>
        <w:t xml:space="preserve"> </w:t>
      </w:r>
      <w:r w:rsidR="00F36432" w:rsidRPr="00083D73">
        <w:rPr>
          <w:rFonts w:cs="Arial"/>
          <w:szCs w:val="22"/>
          <w:lang w:val="en-NZ"/>
        </w:rPr>
        <w:t>by teleconference</w:t>
      </w:r>
      <w:r w:rsidR="00F36432" w:rsidRPr="00083D73">
        <w:rPr>
          <w:lang w:val="en-NZ"/>
        </w:rPr>
        <w:t xml:space="preserve"> for</w:t>
      </w:r>
      <w:r w:rsidR="00F36432" w:rsidRPr="00987913">
        <w:rPr>
          <w:lang w:val="en-NZ"/>
        </w:rPr>
        <w:t xml:space="preserve"> discussion of this application.</w:t>
      </w:r>
    </w:p>
    <w:p w:rsidR="00F36432" w:rsidRDefault="00F36432" w:rsidP="00F36432">
      <w:pPr>
        <w:rPr>
          <w:u w:val="single"/>
          <w:lang w:val="en-NZ"/>
        </w:rPr>
      </w:pPr>
    </w:p>
    <w:p w:rsidR="00F36432" w:rsidRPr="00FD2B1E" w:rsidRDefault="00F36432" w:rsidP="00F36432">
      <w:pPr>
        <w:rPr>
          <w:u w:val="single"/>
          <w:lang w:val="en-NZ"/>
        </w:rPr>
      </w:pPr>
      <w:r w:rsidRPr="00FD2B1E">
        <w:rPr>
          <w:u w:val="single"/>
          <w:lang w:val="en-NZ"/>
        </w:rPr>
        <w:t>Potential conflicts of interest</w:t>
      </w:r>
    </w:p>
    <w:p w:rsidR="00F36432" w:rsidRPr="008869BB" w:rsidRDefault="00F36432" w:rsidP="00F36432">
      <w:pPr>
        <w:rPr>
          <w:b/>
          <w:lang w:val="en-NZ"/>
        </w:rPr>
      </w:pPr>
    </w:p>
    <w:p w:rsidR="00F36432" w:rsidRPr="00960BFE" w:rsidRDefault="00F36432" w:rsidP="00F36432">
      <w:pPr>
        <w:rPr>
          <w:lang w:val="en-NZ"/>
        </w:rPr>
      </w:pPr>
      <w:r w:rsidRPr="00960BFE">
        <w:rPr>
          <w:lang w:val="en-NZ"/>
        </w:rPr>
        <w:t>The Chair asked members to declare any potential conflicts of interest related to this application.</w:t>
      </w:r>
    </w:p>
    <w:p w:rsidR="00F36432" w:rsidRPr="00960BFE" w:rsidRDefault="00F36432" w:rsidP="00F36432">
      <w:pPr>
        <w:rPr>
          <w:lang w:val="en-NZ"/>
        </w:rPr>
      </w:pPr>
    </w:p>
    <w:p w:rsidR="00F36432" w:rsidRDefault="00F36432" w:rsidP="00F36432">
      <w:pPr>
        <w:rPr>
          <w:lang w:val="en-NZ"/>
        </w:rPr>
      </w:pPr>
      <w:r w:rsidRPr="00FD2B1E">
        <w:rPr>
          <w:lang w:val="en-NZ"/>
        </w:rPr>
        <w:t>No potential conflicts</w:t>
      </w:r>
      <w:r w:rsidRPr="00960BFE">
        <w:rPr>
          <w:lang w:val="en-NZ"/>
        </w:rPr>
        <w:t xml:space="preserve"> of interest related to this application were declared by any member.</w:t>
      </w:r>
    </w:p>
    <w:p w:rsidR="00F36432" w:rsidRDefault="00F36432" w:rsidP="00F36432">
      <w:pPr>
        <w:rPr>
          <w:lang w:val="en-NZ"/>
        </w:rPr>
      </w:pPr>
    </w:p>
    <w:p w:rsidR="00F36432" w:rsidRPr="00960BFE" w:rsidRDefault="00F36432" w:rsidP="00F36432">
      <w:pPr>
        <w:rPr>
          <w:lang w:val="en-NZ"/>
        </w:rPr>
      </w:pPr>
    </w:p>
    <w:p w:rsidR="00F36432" w:rsidRDefault="00F36432" w:rsidP="00F36432">
      <w:pPr>
        <w:rPr>
          <w:u w:val="single"/>
          <w:lang w:val="en-NZ"/>
        </w:rPr>
      </w:pPr>
      <w:r w:rsidRPr="001C059D">
        <w:rPr>
          <w:u w:val="single"/>
          <w:lang w:val="en-NZ"/>
        </w:rPr>
        <w:t>Summary of Study</w:t>
      </w:r>
    </w:p>
    <w:p w:rsidR="00F36432" w:rsidRDefault="00F36432" w:rsidP="00F36432">
      <w:pPr>
        <w:rPr>
          <w:u w:val="single"/>
          <w:lang w:val="en-NZ"/>
        </w:rPr>
      </w:pPr>
    </w:p>
    <w:p w:rsidR="00FD5139" w:rsidRDefault="00FD5139" w:rsidP="00FD5139">
      <w:pPr>
        <w:pStyle w:val="ListParagraph"/>
        <w:numPr>
          <w:ilvl w:val="0"/>
          <w:numId w:val="11"/>
        </w:numPr>
        <w:rPr>
          <w:lang w:val="en-NZ"/>
        </w:rPr>
      </w:pPr>
      <w:r w:rsidRPr="00FD5139">
        <w:rPr>
          <w:lang w:val="en-NZ"/>
        </w:rPr>
        <w:t xml:space="preserve">The present study aims to build a large sample of individuals who stutter to contribute towards a genome-wide association study (GWAS). A GWAS is the most effective way to study complex traits, like stuttering, in the general population. </w:t>
      </w:r>
    </w:p>
    <w:p w:rsidR="00FD5139" w:rsidRDefault="00FD5139" w:rsidP="00FD5139">
      <w:pPr>
        <w:pStyle w:val="ListParagraph"/>
        <w:numPr>
          <w:ilvl w:val="0"/>
          <w:numId w:val="11"/>
        </w:numPr>
        <w:rPr>
          <w:lang w:val="en-NZ"/>
        </w:rPr>
      </w:pPr>
      <w:r w:rsidRPr="00FD5139">
        <w:rPr>
          <w:lang w:val="en-NZ"/>
        </w:rPr>
        <w:t>The primary objective of the study is to perform a GWAS in individuals who stutter to identify genetic loci that are associated with stuttering.</w:t>
      </w:r>
    </w:p>
    <w:p w:rsidR="00FD5139" w:rsidRPr="00FD5139" w:rsidRDefault="00FD5139" w:rsidP="00FD5139">
      <w:pPr>
        <w:pStyle w:val="ListParagraph"/>
        <w:numPr>
          <w:ilvl w:val="0"/>
          <w:numId w:val="11"/>
        </w:numPr>
        <w:rPr>
          <w:lang w:val="en-NZ"/>
        </w:rPr>
      </w:pPr>
      <w:r w:rsidRPr="00FD5139">
        <w:rPr>
          <w:lang w:val="en-NZ"/>
        </w:rPr>
        <w:t>A secondary aim is to gather information that delineates characteristics and impacts of stuttering (both QOL and financial) in a large population-based cohort.</w:t>
      </w:r>
    </w:p>
    <w:p w:rsidR="00F36432" w:rsidRPr="00C5052B" w:rsidRDefault="00F36432" w:rsidP="00F36432">
      <w:pPr>
        <w:spacing w:before="80" w:after="80"/>
        <w:rPr>
          <w:u w:val="single"/>
          <w:lang w:val="en-NZ"/>
        </w:rPr>
      </w:pPr>
    </w:p>
    <w:p w:rsidR="00F36432" w:rsidRPr="000A1C67" w:rsidRDefault="00F36432" w:rsidP="00F36432">
      <w:pPr>
        <w:rPr>
          <w:u w:val="single"/>
          <w:lang w:val="en-NZ"/>
        </w:rPr>
      </w:pPr>
      <w:r w:rsidRPr="000A1C67">
        <w:rPr>
          <w:u w:val="single"/>
          <w:lang w:val="en-NZ"/>
        </w:rPr>
        <w:t xml:space="preserve">Summary of </w:t>
      </w:r>
      <w:r>
        <w:rPr>
          <w:u w:val="single"/>
          <w:lang w:val="en-NZ"/>
        </w:rPr>
        <w:t>outstanding ethical issues</w:t>
      </w:r>
    </w:p>
    <w:p w:rsidR="00F36432" w:rsidRDefault="00F36432" w:rsidP="00F36432">
      <w:pPr>
        <w:rPr>
          <w:u w:val="single"/>
          <w:lang w:val="en-NZ"/>
        </w:rPr>
      </w:pPr>
    </w:p>
    <w:p w:rsidR="00F36432" w:rsidRDefault="00F36432" w:rsidP="00F3643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F36432" w:rsidRPr="00960BFE" w:rsidRDefault="00F36432" w:rsidP="00F36432">
      <w:pPr>
        <w:autoSpaceDE w:val="0"/>
        <w:autoSpaceDN w:val="0"/>
        <w:adjustRightInd w:val="0"/>
        <w:rPr>
          <w:lang w:val="en-NZ"/>
        </w:rPr>
      </w:pPr>
    </w:p>
    <w:p w:rsidR="00FD5139" w:rsidRPr="00DC4D0C" w:rsidRDefault="00FD5139" w:rsidP="00FD5139">
      <w:pPr>
        <w:pStyle w:val="ListParagraph"/>
        <w:numPr>
          <w:ilvl w:val="0"/>
          <w:numId w:val="16"/>
        </w:numPr>
        <w:rPr>
          <w:rFonts w:cs="Arial"/>
          <w:szCs w:val="22"/>
          <w:lang w:val="en-NZ"/>
        </w:rPr>
      </w:pPr>
      <w:r w:rsidRPr="00DC4D0C">
        <w:rPr>
          <w:rFonts w:cs="Arial"/>
          <w:szCs w:val="22"/>
          <w:lang w:val="en-NZ"/>
        </w:rPr>
        <w:t xml:space="preserve">The Committee requested the assent form be split into two age-appropriate versions, one for 7 – </w:t>
      </w:r>
      <w:proofErr w:type="gramStart"/>
      <w:r w:rsidRPr="00DC4D0C">
        <w:rPr>
          <w:rFonts w:cs="Arial"/>
          <w:szCs w:val="22"/>
          <w:lang w:val="en-NZ"/>
        </w:rPr>
        <w:t>10 year</w:t>
      </w:r>
      <w:proofErr w:type="gramEnd"/>
      <w:r w:rsidRPr="00DC4D0C">
        <w:rPr>
          <w:rFonts w:cs="Arial"/>
          <w:szCs w:val="22"/>
          <w:lang w:val="en-NZ"/>
        </w:rPr>
        <w:t xml:space="preserve"> olds and the other for 11 – 15 year olds. </w:t>
      </w:r>
    </w:p>
    <w:p w:rsidR="00FD5139" w:rsidRDefault="00FD5139" w:rsidP="00FD5139">
      <w:pPr>
        <w:pStyle w:val="ListParagraph"/>
        <w:rPr>
          <w:rFonts w:cs="Arial"/>
          <w:color w:val="33CCCC"/>
          <w:szCs w:val="22"/>
          <w:lang w:val="en-NZ"/>
        </w:rPr>
      </w:pPr>
    </w:p>
    <w:p w:rsidR="00FD5139" w:rsidRDefault="00FD5139" w:rsidP="00FD5139">
      <w:pPr>
        <w:pStyle w:val="ListParagraph"/>
        <w:rPr>
          <w:rFonts w:cs="Arial"/>
          <w:color w:val="33CCCC"/>
          <w:szCs w:val="22"/>
          <w:lang w:val="en-NZ"/>
        </w:rPr>
      </w:pPr>
    </w:p>
    <w:p w:rsidR="00FD5139" w:rsidRPr="00DC4D0C" w:rsidRDefault="00FD5139" w:rsidP="00FD5139">
      <w:pPr>
        <w:pStyle w:val="ListParagraph"/>
        <w:numPr>
          <w:ilvl w:val="0"/>
          <w:numId w:val="16"/>
        </w:numPr>
        <w:rPr>
          <w:rFonts w:cs="Arial"/>
          <w:szCs w:val="22"/>
          <w:lang w:val="en-NZ"/>
        </w:rPr>
      </w:pPr>
      <w:r w:rsidRPr="00DC4D0C">
        <w:rPr>
          <w:rFonts w:cs="Arial"/>
          <w:szCs w:val="22"/>
          <w:lang w:val="en-NZ"/>
        </w:rPr>
        <w:t xml:space="preserve">The Committee advised that any participants under 16 will need to be re-consented into the study upon turning 16 years old to comply with New Zealand law. The Committee explained this also included any samples stored for future research and participants would need to be contacted upon turning 16 years old to re-consent to this. </w:t>
      </w:r>
    </w:p>
    <w:p w:rsidR="00FD5139" w:rsidRDefault="00FD5139" w:rsidP="00FD5139">
      <w:pPr>
        <w:pStyle w:val="ListParagraph"/>
        <w:ind w:left="0"/>
        <w:rPr>
          <w:rFonts w:cs="Arial"/>
          <w:color w:val="33CCCC"/>
          <w:szCs w:val="22"/>
          <w:lang w:val="en-NZ"/>
        </w:rPr>
      </w:pPr>
    </w:p>
    <w:p w:rsidR="00FD5139" w:rsidRDefault="00FD5139" w:rsidP="00FD5139">
      <w:pPr>
        <w:pStyle w:val="ListParagraph"/>
        <w:rPr>
          <w:rFonts w:cs="Arial"/>
          <w:color w:val="33CCCC"/>
          <w:szCs w:val="22"/>
          <w:lang w:val="en-NZ"/>
        </w:rPr>
      </w:pPr>
    </w:p>
    <w:p w:rsidR="00FD5139" w:rsidRDefault="00FD5139" w:rsidP="00FD5139">
      <w:pPr>
        <w:numPr>
          <w:ilvl w:val="0"/>
          <w:numId w:val="16"/>
        </w:numPr>
      </w:pPr>
      <w:r>
        <w:t xml:space="preserve">The Committee requested the inclusion of a cultural tissue statement to the PIS. The Committee recommended the following statement: </w:t>
      </w:r>
    </w:p>
    <w:p w:rsidR="00FD5139" w:rsidRPr="007D358E" w:rsidRDefault="00FD5139" w:rsidP="00FD5139">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rsidR="00FD5139" w:rsidRDefault="00FD5139" w:rsidP="00FD5139">
      <w:pPr>
        <w:pStyle w:val="Quote"/>
        <w:ind w:left="1080"/>
        <w:rPr>
          <w:rFonts w:cs="Arial"/>
          <w:color w:val="33CCCC"/>
          <w:szCs w:val="22"/>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rsidR="00FD5139" w:rsidRDefault="00FD5139" w:rsidP="00FD5139">
      <w:pPr>
        <w:pStyle w:val="ListParagraph"/>
        <w:ind w:left="0"/>
        <w:rPr>
          <w:rFonts w:cs="Arial"/>
          <w:color w:val="33CCCC"/>
          <w:szCs w:val="22"/>
          <w:lang w:val="en-NZ"/>
        </w:rPr>
      </w:pPr>
    </w:p>
    <w:p w:rsidR="00FD5139" w:rsidRDefault="00FD5139" w:rsidP="00FD5139">
      <w:pPr>
        <w:numPr>
          <w:ilvl w:val="0"/>
          <w:numId w:val="16"/>
        </w:numPr>
        <w:spacing w:before="80" w:after="80"/>
      </w:pPr>
      <w:r>
        <w:lastRenderedPageBreak/>
        <w:t xml:space="preserve">The Committee noted there was no safety protocol to manage a participant expressing severe anxiety or depression. The Researcher stated they would contact the participant and ask if they would like to be referred to a psychologist in their local area. The Committee queried the scenario of if a young person wanted this, but the parents refused. The Researcher stated they would have to defer to the parent as they have no power to override them. </w:t>
      </w:r>
    </w:p>
    <w:p w:rsidR="00FD5139" w:rsidRDefault="00FD5139" w:rsidP="00FD5139">
      <w:pPr>
        <w:spacing w:before="80" w:after="80"/>
      </w:pPr>
    </w:p>
    <w:p w:rsidR="00FD5139" w:rsidRDefault="00FD5139" w:rsidP="00FD5139">
      <w:pPr>
        <w:numPr>
          <w:ilvl w:val="0"/>
          <w:numId w:val="16"/>
        </w:numPr>
        <w:spacing w:before="80" w:after="80"/>
      </w:pPr>
      <w:r>
        <w:t xml:space="preserve">The Committee requested the addition of a paragraph advising that if the study team is concerned about responses from the questionnaires, they will enact a safety plan and what this entails. </w:t>
      </w:r>
    </w:p>
    <w:p w:rsidR="00FD5139" w:rsidRDefault="00FD5139" w:rsidP="00FD5139">
      <w:pPr>
        <w:spacing w:before="80" w:after="80"/>
      </w:pPr>
    </w:p>
    <w:p w:rsidR="00FD5139" w:rsidRDefault="00FD5139" w:rsidP="00FD5139">
      <w:pPr>
        <w:numPr>
          <w:ilvl w:val="0"/>
          <w:numId w:val="16"/>
        </w:numPr>
        <w:spacing w:before="80" w:after="80"/>
      </w:pPr>
      <w:r>
        <w:t xml:space="preserve">The Committee requested information in the PIS explaining where samples would be sent and what would be done to them (e.g. saliva to Brisbane for DNA extraction, DNA to the Netherlands for sequencing and then storage in Melbourne). </w:t>
      </w:r>
    </w:p>
    <w:p w:rsidR="00F36432" w:rsidRDefault="00F36432" w:rsidP="00FD5139">
      <w:pPr>
        <w:autoSpaceDE w:val="0"/>
        <w:autoSpaceDN w:val="0"/>
        <w:adjustRightInd w:val="0"/>
      </w:pPr>
    </w:p>
    <w:p w:rsidR="00FD5139" w:rsidRPr="00FD5139" w:rsidRDefault="00FD5139" w:rsidP="00FD5139">
      <w:pPr>
        <w:autoSpaceDE w:val="0"/>
        <w:autoSpaceDN w:val="0"/>
        <w:adjustRightInd w:val="0"/>
      </w:pPr>
    </w:p>
    <w:p w:rsidR="00F36432" w:rsidRPr="00FD5139" w:rsidRDefault="00F36432" w:rsidP="00F36432">
      <w:pPr>
        <w:rPr>
          <w:u w:val="single"/>
          <w:lang w:val="en-NZ"/>
        </w:rPr>
      </w:pPr>
      <w:r w:rsidRPr="00FD5139">
        <w:rPr>
          <w:u w:val="single"/>
          <w:lang w:val="en-NZ"/>
        </w:rPr>
        <w:t xml:space="preserve">Decision </w:t>
      </w:r>
    </w:p>
    <w:p w:rsidR="00F36432" w:rsidRPr="00FD5139" w:rsidRDefault="00F36432" w:rsidP="00F36432">
      <w:pPr>
        <w:rPr>
          <w:lang w:val="en-NZ"/>
        </w:rPr>
      </w:pPr>
    </w:p>
    <w:p w:rsidR="00F36432" w:rsidRPr="00FD5139" w:rsidRDefault="00F36432" w:rsidP="00F36432">
      <w:pPr>
        <w:rPr>
          <w:lang w:val="en-NZ"/>
        </w:rPr>
      </w:pPr>
    </w:p>
    <w:p w:rsidR="00F36432" w:rsidRPr="00FD5139" w:rsidRDefault="00F36432" w:rsidP="00F36432">
      <w:pPr>
        <w:rPr>
          <w:lang w:val="en-NZ"/>
        </w:rPr>
      </w:pPr>
      <w:r w:rsidRPr="00FD5139">
        <w:rPr>
          <w:lang w:val="en-NZ"/>
        </w:rPr>
        <w:t xml:space="preserve">This application was </w:t>
      </w:r>
      <w:r w:rsidRPr="00FD5139">
        <w:rPr>
          <w:i/>
          <w:lang w:val="en-NZ"/>
        </w:rPr>
        <w:t>provisionally approved</w:t>
      </w:r>
      <w:r w:rsidRPr="00FD5139">
        <w:rPr>
          <w:lang w:val="en-NZ"/>
        </w:rPr>
        <w:t xml:space="preserve"> by </w:t>
      </w:r>
      <w:r w:rsidRPr="00FD5139">
        <w:rPr>
          <w:rFonts w:cs="Arial"/>
          <w:szCs w:val="22"/>
          <w:lang w:val="en-NZ"/>
        </w:rPr>
        <w:t>consensus</w:t>
      </w:r>
      <w:r w:rsidRPr="00FD5139">
        <w:rPr>
          <w:lang w:val="en-NZ"/>
        </w:rPr>
        <w:t>, subject to the following information being received:</w:t>
      </w:r>
    </w:p>
    <w:p w:rsidR="00F36432" w:rsidRPr="00FD5139" w:rsidRDefault="00F36432" w:rsidP="00F36432">
      <w:pPr>
        <w:rPr>
          <w:lang w:val="en-NZ"/>
        </w:rPr>
      </w:pPr>
    </w:p>
    <w:p w:rsidR="00F36432" w:rsidRPr="00FD5139" w:rsidRDefault="00F36432" w:rsidP="00F36432">
      <w:pPr>
        <w:rPr>
          <w:lang w:val="en-NZ"/>
        </w:rPr>
      </w:pPr>
    </w:p>
    <w:p w:rsidR="00F36432" w:rsidRPr="00FD5139" w:rsidRDefault="00FD5139" w:rsidP="00AB6059">
      <w:pPr>
        <w:pStyle w:val="ListParagraph"/>
        <w:numPr>
          <w:ilvl w:val="0"/>
          <w:numId w:val="5"/>
        </w:numPr>
        <w:spacing w:before="80" w:after="80"/>
        <w:rPr>
          <w:rFonts w:cs="Arial"/>
          <w:szCs w:val="22"/>
          <w:lang w:val="en-NZ"/>
        </w:rPr>
      </w:pPr>
      <w:r w:rsidRPr="00FD5139">
        <w:rPr>
          <w:rFonts w:cs="Arial"/>
          <w:szCs w:val="22"/>
          <w:lang w:val="en-NZ"/>
        </w:rPr>
        <w:t xml:space="preserve">Please split the assent form into two age appropriate versions. </w:t>
      </w:r>
    </w:p>
    <w:p w:rsidR="00FD5139" w:rsidRPr="00FD5139" w:rsidRDefault="00FD5139" w:rsidP="00AB6059">
      <w:pPr>
        <w:pStyle w:val="ListParagraph"/>
        <w:numPr>
          <w:ilvl w:val="0"/>
          <w:numId w:val="5"/>
        </w:numPr>
        <w:spacing w:before="80" w:after="80"/>
        <w:rPr>
          <w:rFonts w:cs="Arial"/>
          <w:szCs w:val="22"/>
          <w:lang w:val="en-NZ"/>
        </w:rPr>
      </w:pPr>
      <w:r w:rsidRPr="00FD5139">
        <w:rPr>
          <w:rFonts w:cs="Arial"/>
          <w:szCs w:val="22"/>
          <w:lang w:val="en-NZ"/>
        </w:rPr>
        <w:t xml:space="preserve">Please adapt the main PIS to create a version for participants to consent to upon reaching 16 years of age. </w:t>
      </w:r>
    </w:p>
    <w:p w:rsidR="00FD5139" w:rsidRPr="00FD5139" w:rsidRDefault="00FD5139" w:rsidP="00AB6059">
      <w:pPr>
        <w:pStyle w:val="ListParagraph"/>
        <w:numPr>
          <w:ilvl w:val="0"/>
          <w:numId w:val="5"/>
        </w:numPr>
        <w:spacing w:before="80" w:after="80"/>
        <w:rPr>
          <w:rFonts w:cs="Arial"/>
          <w:szCs w:val="22"/>
          <w:lang w:val="en-NZ"/>
        </w:rPr>
      </w:pPr>
      <w:r w:rsidRPr="00FD5139">
        <w:rPr>
          <w:rFonts w:cs="Arial"/>
          <w:szCs w:val="22"/>
          <w:lang w:val="en-NZ"/>
        </w:rPr>
        <w:t xml:space="preserve">Please supply details of a safety protocol for managing participant distress. </w:t>
      </w:r>
    </w:p>
    <w:p w:rsidR="00FD5139" w:rsidRPr="006342E1" w:rsidRDefault="00FD5139" w:rsidP="00FD5139">
      <w:pPr>
        <w:numPr>
          <w:ilvl w:val="0"/>
          <w:numId w:val="5"/>
        </w:numPr>
        <w:autoSpaceDE w:val="0"/>
        <w:autoSpaceDN w:val="0"/>
        <w:adjustRightInd w:val="0"/>
        <w:rPr>
          <w:rFonts w:cs="Arial"/>
        </w:rPr>
      </w:pPr>
      <w:bookmarkStart w:id="6" w:name="_Hlk35422715"/>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bookmarkEnd w:id="6"/>
    <w:p w:rsidR="00FD5139" w:rsidRPr="004549E5" w:rsidRDefault="00FD5139" w:rsidP="00FD5139">
      <w:pPr>
        <w:pStyle w:val="ListParagraph"/>
        <w:spacing w:before="80" w:after="80"/>
        <w:ind w:left="360"/>
        <w:rPr>
          <w:rFonts w:cs="Arial"/>
          <w:color w:val="33CCCC"/>
          <w:szCs w:val="22"/>
          <w:lang w:val="en-NZ"/>
        </w:rPr>
      </w:pPr>
    </w:p>
    <w:p w:rsidR="00F36432" w:rsidRPr="00960BFE" w:rsidRDefault="00F36432" w:rsidP="00F36432">
      <w:pPr>
        <w:rPr>
          <w:color w:val="FF0000"/>
          <w:lang w:val="en-NZ"/>
        </w:rPr>
      </w:pPr>
    </w:p>
    <w:p w:rsidR="00F36432" w:rsidRPr="00FD2B1E" w:rsidRDefault="00F36432" w:rsidP="00F36432">
      <w:pPr>
        <w:rPr>
          <w:lang w:val="en-NZ"/>
        </w:rPr>
      </w:pPr>
      <w:r w:rsidRPr="002E7A84">
        <w:rPr>
          <w:lang w:val="en-NZ"/>
        </w:rPr>
        <w:t>After receipt of the information requested by the Committee, a final decision on the</w:t>
      </w:r>
      <w:r>
        <w:rPr>
          <w:lang w:val="en-NZ"/>
        </w:rPr>
        <w:t xml:space="preserve"> application will be made by </w:t>
      </w:r>
      <w:r w:rsidR="00DC4D0C">
        <w:rPr>
          <w:lang w:val="en-NZ"/>
        </w:rPr>
        <w:t xml:space="preserve">Ms Sandy Gill and Dr Peter Gallagher. </w:t>
      </w:r>
    </w:p>
    <w:p w:rsidR="00F36432" w:rsidRPr="00960BFE" w:rsidRDefault="00F36432" w:rsidP="00F36432">
      <w:pPr>
        <w:rPr>
          <w:color w:val="FF0000"/>
          <w:lang w:val="en-NZ"/>
        </w:rPr>
      </w:pPr>
    </w:p>
    <w:p w:rsidR="00F325F7" w:rsidRDefault="00F325F7" w:rsidP="00FD5139">
      <w:pPr>
        <w:pStyle w:val="ListParagraph"/>
        <w:ind w:left="0"/>
        <w:rPr>
          <w:rFonts w:cs="Arial"/>
          <w:color w:val="33CCCC"/>
          <w:szCs w:val="22"/>
          <w:lang w:val="en-NZ"/>
        </w:rPr>
      </w:pPr>
    </w:p>
    <w:p w:rsidR="00116C92" w:rsidRDefault="00116C92" w:rsidP="00F325F7">
      <w:pPr>
        <w:pStyle w:val="ListParagraph"/>
        <w:rPr>
          <w:rFonts w:cs="Arial"/>
          <w:color w:val="33CCCC"/>
          <w:szCs w:val="22"/>
          <w:lang w:val="en-NZ"/>
        </w:rPr>
      </w:pPr>
    </w:p>
    <w:p w:rsidR="00116C92" w:rsidRDefault="00116C92" w:rsidP="00F325F7">
      <w:pPr>
        <w:pStyle w:val="ListParagraph"/>
        <w:rPr>
          <w:rFonts w:cs="Arial"/>
          <w:color w:val="33CCCC"/>
          <w:szCs w:val="22"/>
          <w:lang w:val="en-NZ"/>
        </w:rPr>
      </w:pPr>
    </w:p>
    <w:p w:rsidR="00051B4F" w:rsidRDefault="00051B4F" w:rsidP="00F325F7">
      <w:pPr>
        <w:pStyle w:val="ListParagraph"/>
        <w:rPr>
          <w:rFonts w:cs="Arial"/>
          <w:color w:val="33CCCC"/>
          <w:szCs w:val="22"/>
          <w:lang w:val="en-NZ"/>
        </w:rPr>
      </w:pPr>
    </w:p>
    <w:p w:rsidR="00E24E77" w:rsidRPr="00795EDD" w:rsidRDefault="00E24E77" w:rsidP="001B1ABA"/>
    <w:p w:rsidR="00E24E77" w:rsidRDefault="00A9572D" w:rsidP="001B1ABA">
      <w:pPr>
        <w:pStyle w:val="Heading2"/>
        <w:pBdr>
          <w:bottom w:val="single" w:sz="12" w:space="1" w:color="auto"/>
        </w:pBdr>
        <w:spacing w:before="0" w:after="0"/>
      </w:pPr>
      <w:r>
        <w:t>S</w:t>
      </w:r>
      <w:r w:rsidR="00E24E77">
        <w:t>ubstantial amendment</w:t>
      </w:r>
      <w:r>
        <w:t>s</w:t>
      </w:r>
    </w:p>
    <w:p w:rsidR="00E24E77" w:rsidRPr="0018623C" w:rsidRDefault="00E24E77" w:rsidP="001B1ABA"/>
    <w:p w:rsidR="009513F0" w:rsidRDefault="009513F0" w:rsidP="001B1ABA">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13F0">
        <w:trPr>
          <w:trHeight w:val="280"/>
        </w:trPr>
        <w:tc>
          <w:tcPr>
            <w:tcW w:w="966" w:type="dxa"/>
            <w:tcBorders>
              <w:top w:val="nil"/>
              <w:left w:val="nil"/>
              <w:bottom w:val="nil"/>
              <w:right w:val="nil"/>
            </w:tcBorders>
          </w:tcPr>
          <w:p w:rsidR="009513F0" w:rsidRDefault="009513F0" w:rsidP="001B1ABA">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9513F0" w:rsidRDefault="009513F0" w:rsidP="001B1ABA">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9513F0" w:rsidRDefault="009513F0" w:rsidP="001B1ABA">
            <w:pPr>
              <w:autoSpaceDE w:val="0"/>
              <w:autoSpaceDN w:val="0"/>
              <w:adjustRightInd w:val="0"/>
              <w:rPr>
                <w:lang w:val="en-NZ"/>
              </w:rPr>
            </w:pPr>
            <w:r>
              <w:rPr>
                <w:b/>
                <w:lang w:val="en-NZ"/>
              </w:rPr>
              <w:t>19/CEN/68/AM01</w:t>
            </w:r>
            <w:r>
              <w:rPr>
                <w:lang w:val="en-NZ"/>
              </w:rPr>
              <w:t xml:space="preserve">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9513F0" w:rsidRDefault="009513F0" w:rsidP="001B1ABA">
            <w:pPr>
              <w:autoSpaceDE w:val="0"/>
              <w:autoSpaceDN w:val="0"/>
              <w:adjustRightInd w:val="0"/>
              <w:rPr>
                <w:lang w:val="en-NZ"/>
              </w:rPr>
            </w:pPr>
            <w:proofErr w:type="spellStart"/>
            <w:r>
              <w:rPr>
                <w:lang w:val="en-NZ"/>
              </w:rPr>
              <w:t>whataboutme</w:t>
            </w:r>
            <w:proofErr w:type="spellEnd"/>
            <w:r>
              <w:rPr>
                <w:lang w:val="en-NZ"/>
              </w:rPr>
              <w:t xml:space="preserve">?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Dr Deborah McLeod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Mr Simon McPherson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9513F0" w:rsidRDefault="009513F0" w:rsidP="001B1ABA">
            <w:pPr>
              <w:autoSpaceDE w:val="0"/>
              <w:autoSpaceDN w:val="0"/>
              <w:adjustRightInd w:val="0"/>
              <w:rPr>
                <w:lang w:val="en-NZ"/>
              </w:rPr>
            </w:pPr>
            <w:r>
              <w:rPr>
                <w:lang w:val="en-NZ"/>
              </w:rPr>
              <w:t xml:space="preserve">16 March 2020 </w:t>
            </w:r>
          </w:p>
        </w:tc>
        <w:tc>
          <w:tcPr>
            <w:tcW w:w="360" w:type="dxa"/>
          </w:tcPr>
          <w:p w:rsidR="009513F0" w:rsidRDefault="009513F0">
            <w:pPr>
              <w:rPr>
                <w:lang w:val="en-NZ"/>
              </w:rPr>
            </w:pPr>
            <w:r>
              <w:rPr>
                <w:lang w:val="en-NZ"/>
              </w:rPr>
              <w:t xml:space="preserve"> </w:t>
            </w:r>
          </w:p>
        </w:tc>
      </w:tr>
    </w:tbl>
    <w:p w:rsidR="009513F0" w:rsidRDefault="009513F0" w:rsidP="001B1ABA">
      <w:pPr>
        <w:rPr>
          <w:lang w:val="en-NZ"/>
        </w:rPr>
      </w:pPr>
      <w:r>
        <w:rPr>
          <w:lang w:val="en-NZ"/>
        </w:rPr>
        <w:t xml:space="preserve"> </w:t>
      </w:r>
    </w:p>
    <w:p w:rsidR="00204AC4" w:rsidRPr="00FD2B1E" w:rsidRDefault="00204AC4" w:rsidP="001B1ABA">
      <w:pPr>
        <w:rPr>
          <w:u w:val="single"/>
          <w:lang w:val="en-NZ"/>
        </w:rPr>
      </w:pPr>
      <w:r w:rsidRPr="00FD2B1E">
        <w:rPr>
          <w:u w:val="single"/>
          <w:lang w:val="en-NZ"/>
        </w:rPr>
        <w:t xml:space="preserve">Potential conflicts of interest </w:t>
      </w:r>
    </w:p>
    <w:p w:rsidR="00204AC4" w:rsidRPr="008869BB" w:rsidRDefault="00204AC4" w:rsidP="001B1ABA">
      <w:pPr>
        <w:rPr>
          <w:b/>
          <w:lang w:val="en-NZ"/>
        </w:rPr>
      </w:pPr>
    </w:p>
    <w:p w:rsidR="00204AC4" w:rsidRDefault="00204AC4" w:rsidP="001B1ABA">
      <w:pPr>
        <w:rPr>
          <w:lang w:val="en-NZ"/>
        </w:rPr>
      </w:pPr>
      <w:r>
        <w:rPr>
          <w:lang w:val="en-NZ"/>
        </w:rPr>
        <w:t xml:space="preserve">The Chair asked members to declare any potential conflicts of interest related to this application. </w:t>
      </w:r>
    </w:p>
    <w:p w:rsidR="00204AC4" w:rsidRDefault="00204AC4" w:rsidP="001B1ABA">
      <w:pPr>
        <w:rPr>
          <w:lang w:val="en-NZ"/>
        </w:rPr>
      </w:pPr>
    </w:p>
    <w:p w:rsidR="00204AC4" w:rsidRPr="00753E2C" w:rsidRDefault="00204AC4" w:rsidP="007C79D4">
      <w:pPr>
        <w:rPr>
          <w:lang w:val="en-NZ"/>
        </w:rPr>
      </w:pPr>
      <w:r w:rsidRPr="00FD2B1E">
        <w:rPr>
          <w:lang w:val="en-NZ"/>
        </w:rPr>
        <w:t>No potential conflicts</w:t>
      </w:r>
      <w:r>
        <w:rPr>
          <w:lang w:val="en-NZ"/>
        </w:rPr>
        <w:t xml:space="preserve"> of interest related to this application were declared by any member. </w:t>
      </w:r>
    </w:p>
    <w:p w:rsidR="00204AC4" w:rsidRDefault="00204AC4" w:rsidP="001B1ABA">
      <w:pPr>
        <w:rPr>
          <w:lang w:val="en-NZ"/>
        </w:rPr>
      </w:pPr>
    </w:p>
    <w:p w:rsidR="00204AC4" w:rsidRPr="00FD2B1E" w:rsidRDefault="00204AC4" w:rsidP="001B1ABA">
      <w:pPr>
        <w:rPr>
          <w:u w:val="single"/>
          <w:lang w:val="en-NZ"/>
        </w:rPr>
      </w:pPr>
      <w:r>
        <w:rPr>
          <w:u w:val="single"/>
          <w:lang w:val="en-NZ"/>
        </w:rPr>
        <w:t>Summary of ethical issues</w:t>
      </w:r>
    </w:p>
    <w:p w:rsidR="00204AC4" w:rsidRPr="008869BB" w:rsidRDefault="00204AC4" w:rsidP="001B1ABA">
      <w:pPr>
        <w:rPr>
          <w:b/>
          <w:lang w:val="en-NZ"/>
        </w:rPr>
      </w:pPr>
    </w:p>
    <w:p w:rsidR="00204AC4" w:rsidRDefault="00204AC4" w:rsidP="001B1ABA">
      <w:pPr>
        <w:rPr>
          <w:lang w:val="en-NZ"/>
        </w:rPr>
      </w:pPr>
      <w:r>
        <w:rPr>
          <w:lang w:val="en-NZ"/>
        </w:rPr>
        <w:t xml:space="preserve">The main ethical issues considered by the Committee were as follows. </w:t>
      </w:r>
    </w:p>
    <w:p w:rsidR="00204AC4" w:rsidRDefault="00204AC4" w:rsidP="001B1ABA">
      <w:pPr>
        <w:rPr>
          <w:lang w:val="en-NZ"/>
        </w:rPr>
      </w:pPr>
    </w:p>
    <w:p w:rsidR="007970F3" w:rsidRDefault="007970F3" w:rsidP="001B1ABA">
      <w:pPr>
        <w:rPr>
          <w:lang w:val="en-NZ"/>
        </w:rPr>
      </w:pPr>
    </w:p>
    <w:p w:rsidR="007970F3" w:rsidRDefault="007970F3" w:rsidP="00A73C4C">
      <w:pPr>
        <w:ind w:firstLine="720"/>
        <w:rPr>
          <w:lang w:val="en-NZ"/>
        </w:rPr>
      </w:pPr>
    </w:p>
    <w:p w:rsidR="00A73C4C" w:rsidRDefault="00A73C4C" w:rsidP="00083D73">
      <w:pPr>
        <w:numPr>
          <w:ilvl w:val="0"/>
          <w:numId w:val="12"/>
        </w:numPr>
        <w:rPr>
          <w:lang w:val="en-NZ"/>
        </w:rPr>
      </w:pPr>
      <w:r>
        <w:rPr>
          <w:lang w:val="en-NZ"/>
        </w:rPr>
        <w:t xml:space="preserve">The Committee noted the focus group contained useful information but considered it may not be a representative sample as a hand-picked focus group may not give insight into a vulnerable population (e.g. students from decile 10 schools will likely answer differently to those from a decile 1 school). The Committee noted some participants </w:t>
      </w:r>
      <w:r w:rsidR="00231750">
        <w:rPr>
          <w:lang w:val="en-NZ"/>
        </w:rPr>
        <w:t xml:space="preserve">may have </w:t>
      </w:r>
      <w:r>
        <w:rPr>
          <w:lang w:val="en-NZ"/>
        </w:rPr>
        <w:t xml:space="preserve">had difficulty imagining the situations of those less fortunate. </w:t>
      </w:r>
    </w:p>
    <w:p w:rsidR="00A73C4C" w:rsidRDefault="00A73C4C" w:rsidP="00A73C4C">
      <w:pPr>
        <w:rPr>
          <w:lang w:val="en-NZ"/>
        </w:rPr>
      </w:pPr>
    </w:p>
    <w:p w:rsidR="00A73C4C" w:rsidRPr="00083D73" w:rsidRDefault="00A73C4C" w:rsidP="00A73C4C">
      <w:pPr>
        <w:numPr>
          <w:ilvl w:val="0"/>
          <w:numId w:val="12"/>
        </w:numPr>
        <w:rPr>
          <w:lang w:val="en-NZ"/>
        </w:rPr>
      </w:pPr>
      <w:r>
        <w:rPr>
          <w:lang w:val="en-NZ"/>
        </w:rPr>
        <w:t xml:space="preserve">The Committee considered the focus group also may not provide an accurate depiction of a ‘live test’ as participants were instructed </w:t>
      </w:r>
      <w:r w:rsidR="00231750">
        <w:rPr>
          <w:lang w:val="en-NZ"/>
        </w:rPr>
        <w:t>that they did not have to give true answers</w:t>
      </w:r>
      <w:r>
        <w:rPr>
          <w:lang w:val="en-NZ"/>
        </w:rPr>
        <w:t xml:space="preserve">. </w:t>
      </w:r>
    </w:p>
    <w:p w:rsidR="00A73C4C" w:rsidRDefault="00A73C4C" w:rsidP="00A73C4C">
      <w:pPr>
        <w:rPr>
          <w:lang w:val="en-NZ"/>
        </w:rPr>
      </w:pPr>
    </w:p>
    <w:p w:rsidR="00204AC4" w:rsidRDefault="00A73C4C" w:rsidP="00083D73">
      <w:pPr>
        <w:numPr>
          <w:ilvl w:val="0"/>
          <w:numId w:val="12"/>
        </w:numPr>
        <w:rPr>
          <w:lang w:val="en-NZ"/>
        </w:rPr>
      </w:pPr>
      <w:r>
        <w:rPr>
          <w:lang w:val="en-NZ"/>
        </w:rPr>
        <w:t>The Committee requested the Researchers undertake the main study in older children</w:t>
      </w:r>
      <w:r w:rsidR="009A74FD">
        <w:rPr>
          <w:lang w:val="en-NZ"/>
        </w:rPr>
        <w:t xml:space="preserve"> </w:t>
      </w:r>
      <w:r w:rsidR="009A74FD" w:rsidRPr="00AA1DFD">
        <w:rPr>
          <w:b/>
          <w:bCs/>
          <w:lang w:val="en-NZ"/>
        </w:rPr>
        <w:t>as instructed in the approval letter</w:t>
      </w:r>
      <w:r>
        <w:rPr>
          <w:lang w:val="en-NZ"/>
        </w:rPr>
        <w:t xml:space="preserve"> and provide the safety data once available. </w:t>
      </w:r>
      <w:r w:rsidR="00AA1DFD" w:rsidRPr="00AA1DFD">
        <w:rPr>
          <w:lang w:val="en-NZ"/>
        </w:rPr>
        <w:t>The Committee stated that safety data from older children combined with the focus group could reassure it and allow it to approve the inclusion of younger participants.</w:t>
      </w:r>
    </w:p>
    <w:p w:rsidR="009A74FD" w:rsidRDefault="009A74FD" w:rsidP="001B1ABA">
      <w:pPr>
        <w:rPr>
          <w:lang w:val="en-NZ"/>
        </w:rPr>
      </w:pPr>
    </w:p>
    <w:p w:rsidR="009A74FD" w:rsidRDefault="009A74FD" w:rsidP="001B1ABA">
      <w:pPr>
        <w:rPr>
          <w:color w:val="FF0000"/>
          <w:lang w:val="en-NZ"/>
        </w:rPr>
      </w:pPr>
    </w:p>
    <w:p w:rsidR="00204AC4" w:rsidRPr="00FD2B1E" w:rsidRDefault="00204AC4" w:rsidP="001B1ABA">
      <w:pPr>
        <w:rPr>
          <w:u w:val="single"/>
          <w:lang w:val="en-NZ"/>
        </w:rPr>
      </w:pPr>
      <w:r w:rsidRPr="00FD2B1E">
        <w:rPr>
          <w:u w:val="single"/>
          <w:lang w:val="en-NZ"/>
        </w:rPr>
        <w:t xml:space="preserve">Decision </w:t>
      </w:r>
    </w:p>
    <w:p w:rsidR="00204AC4" w:rsidRDefault="00204AC4" w:rsidP="001B1ABA">
      <w:pPr>
        <w:rPr>
          <w:lang w:val="en-NZ"/>
        </w:rPr>
      </w:pPr>
    </w:p>
    <w:p w:rsidR="00204AC4" w:rsidRPr="009A74FD" w:rsidRDefault="00204AC4" w:rsidP="001B1ABA">
      <w:pPr>
        <w:rPr>
          <w:lang w:val="en-NZ"/>
        </w:rPr>
      </w:pPr>
      <w:r w:rsidRPr="009A74FD">
        <w:rPr>
          <w:lang w:val="en-NZ"/>
        </w:rPr>
        <w:t xml:space="preserve">This amendment was </w:t>
      </w:r>
      <w:r w:rsidRPr="009A74FD">
        <w:rPr>
          <w:i/>
          <w:lang w:val="en-NZ"/>
        </w:rPr>
        <w:t>declined</w:t>
      </w:r>
      <w:r w:rsidRPr="009A74FD">
        <w:rPr>
          <w:lang w:val="en-NZ"/>
        </w:rPr>
        <w:t xml:space="preserve"> by </w:t>
      </w:r>
      <w:r w:rsidRPr="009A74FD">
        <w:rPr>
          <w:rFonts w:cs="Arial"/>
          <w:szCs w:val="22"/>
          <w:lang w:val="en-NZ"/>
        </w:rPr>
        <w:t>consensus</w:t>
      </w:r>
      <w:r w:rsidRPr="009A74FD">
        <w:rPr>
          <w:lang w:val="en-NZ"/>
        </w:rPr>
        <w:t>, as the Committee did not consider that the amendment would meet the following ethical standards.</w:t>
      </w:r>
    </w:p>
    <w:p w:rsidR="00204AC4" w:rsidRPr="009A74FD" w:rsidRDefault="00204AC4" w:rsidP="001B1ABA">
      <w:pPr>
        <w:rPr>
          <w:lang w:val="en-NZ"/>
        </w:rPr>
      </w:pPr>
    </w:p>
    <w:p w:rsidR="00AA1DFD" w:rsidRPr="0031393B" w:rsidRDefault="00AA1DFD" w:rsidP="00AA1DFD">
      <w:pPr>
        <w:numPr>
          <w:ilvl w:val="0"/>
          <w:numId w:val="5"/>
        </w:numPr>
        <w:autoSpaceDE w:val="0"/>
        <w:autoSpaceDN w:val="0"/>
        <w:adjustRightInd w:val="0"/>
        <w:rPr>
          <w:rFonts w:cs="Arial"/>
        </w:rPr>
      </w:pPr>
      <w:bookmarkStart w:id="7" w:name="_Hlk35422703"/>
      <w:r>
        <w:rPr>
          <w:rFonts w:cs="Arial"/>
        </w:rPr>
        <w:t>Please undertake the main study in older children to ensure participant safety before expanding the study to include younger participants.</w:t>
      </w:r>
      <w:r w:rsidRPr="00C46311">
        <w:rPr>
          <w:rFonts w:cs="Arial"/>
        </w:rPr>
        <w:t xml:space="preserve"> </w:t>
      </w:r>
      <w:r w:rsidRPr="00C46311">
        <w:rPr>
          <w:rFonts w:cs="Arial"/>
          <w:i/>
        </w:rPr>
        <w:t xml:space="preserve">(National Ethical Standards for Health and Disability Research and Quality Improvement, para </w:t>
      </w:r>
      <w:r>
        <w:rPr>
          <w:rFonts w:cs="Arial"/>
          <w:i/>
        </w:rPr>
        <w:t>6.20</w:t>
      </w:r>
      <w:r w:rsidRPr="00C46311">
        <w:rPr>
          <w:rFonts w:cs="Arial"/>
          <w:i/>
        </w:rPr>
        <w:t xml:space="preserve">).  </w:t>
      </w:r>
    </w:p>
    <w:bookmarkEnd w:id="7"/>
    <w:p w:rsidR="00F36432" w:rsidRPr="009C51DB" w:rsidRDefault="009513F0" w:rsidP="001B1ABA">
      <w:pPr>
        <w:autoSpaceDE w:val="0"/>
        <w:autoSpaceDN w:val="0"/>
        <w:adjustRightInd w:val="0"/>
        <w:rPr>
          <w:rFonts w:cs="Arial"/>
          <w:szCs w:val="22"/>
          <w:lang w:eastAsia="en-GB"/>
        </w:rPr>
      </w:pPr>
      <w:r>
        <w:rPr>
          <w:lang w:val="en-NZ"/>
        </w:rPr>
        <w:t xml:space="preserve"> </w:t>
      </w:r>
      <w:r w:rsidR="00F36432" w:rsidRPr="009C51DB">
        <w:rPr>
          <w:rFonts w:cs="Arial"/>
          <w:szCs w:val="22"/>
          <w:lang w:eastAsia="en-GB"/>
        </w:rPr>
        <w:br w:type="page"/>
      </w:r>
    </w:p>
    <w:p w:rsidR="00F36432" w:rsidRPr="009C51DB" w:rsidRDefault="00F36432" w:rsidP="001B1ABA">
      <w:pPr>
        <w:autoSpaceDE w:val="0"/>
        <w:autoSpaceDN w:val="0"/>
        <w:adjustRightInd w:val="0"/>
        <w:rPr>
          <w:rFonts w:cs="Arial"/>
          <w:szCs w:val="22"/>
          <w:lang w:eastAsia="en-GB"/>
        </w:rPr>
      </w:pPr>
    </w:p>
    <w:p w:rsidR="00E24E77" w:rsidRDefault="00E24E77" w:rsidP="001B1ABA">
      <w:pPr>
        <w:pStyle w:val="Heading2"/>
        <w:pBdr>
          <w:bottom w:val="single" w:sz="12" w:space="1" w:color="auto"/>
        </w:pBdr>
        <w:spacing w:before="0" w:after="0"/>
      </w:pPr>
      <w:r>
        <w:t>General business</w:t>
      </w:r>
    </w:p>
    <w:p w:rsidR="00E24E77" w:rsidRDefault="00E24E77" w:rsidP="001B1ABA"/>
    <w:p w:rsidR="00DC62A5" w:rsidRPr="00184D6C" w:rsidRDefault="00E24E77" w:rsidP="00AB605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1B1ABA"/>
    <w:p w:rsidR="00E24E77" w:rsidRDefault="00E24E77" w:rsidP="00AB6059">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1B1ABA">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B1ABA">
            <w:pPr>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B1ABA">
            <w:pPr>
              <w:rPr>
                <w:rFonts w:cs="Arial"/>
                <w:color w:val="FF3399"/>
                <w:sz w:val="20"/>
                <w:lang w:val="en-NZ"/>
              </w:rPr>
            </w:pPr>
            <w:r w:rsidRPr="00375C2D">
              <w:rPr>
                <w:rFonts w:cs="Arial"/>
                <w:sz w:val="20"/>
                <w:lang w:val="en-NZ"/>
              </w:rPr>
              <w:t>28 April 2020,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B1ABA">
            <w:pPr>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B1ABA">
            <w:pPr>
              <w:rPr>
                <w:rFonts w:cs="Arial"/>
                <w:color w:val="FF3399"/>
                <w:sz w:val="20"/>
                <w:lang w:val="en-NZ"/>
              </w:rPr>
            </w:pPr>
            <w:r w:rsidRPr="00375C2D">
              <w:rPr>
                <w:rFonts w:cs="Arial"/>
                <w:sz w:val="20"/>
                <w:lang w:val="en-NZ"/>
              </w:rPr>
              <w:t>Room GN.7, Ground Floor, Ministry of Health, 133 Molesworth Street, Wellington, 6011</w:t>
            </w:r>
          </w:p>
        </w:tc>
      </w:tr>
    </w:tbl>
    <w:p w:rsidR="008444A3" w:rsidRPr="00F346D4" w:rsidRDefault="008444A3" w:rsidP="007C79D4">
      <w:pPr>
        <w:rPr>
          <w:color w:val="00CCFF"/>
        </w:rPr>
      </w:pPr>
    </w:p>
    <w:p w:rsidR="00E24E77" w:rsidRDefault="00E24E77" w:rsidP="001B1ABA"/>
    <w:p w:rsidR="00770A9F" w:rsidRPr="00946B92" w:rsidRDefault="00770A9F" w:rsidP="00AB6059">
      <w:pPr>
        <w:numPr>
          <w:ilvl w:val="0"/>
          <w:numId w:val="2"/>
        </w:numPr>
        <w:rPr>
          <w:b/>
          <w:szCs w:val="22"/>
          <w:u w:val="single"/>
        </w:rPr>
      </w:pPr>
      <w:r w:rsidRPr="00946B92">
        <w:rPr>
          <w:b/>
          <w:szCs w:val="22"/>
          <w:u w:val="single"/>
        </w:rPr>
        <w:t>Problem with Last Minutes</w:t>
      </w:r>
    </w:p>
    <w:p w:rsidR="00770A9F" w:rsidRPr="00946B92" w:rsidRDefault="00770A9F" w:rsidP="001B1ABA">
      <w:pPr>
        <w:rPr>
          <w:b/>
          <w:szCs w:val="22"/>
          <w:u w:val="single"/>
        </w:rPr>
      </w:pPr>
    </w:p>
    <w:p w:rsidR="00770A9F" w:rsidRPr="00946B92" w:rsidRDefault="00770A9F" w:rsidP="001B1ABA">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rsidR="00770A9F" w:rsidRPr="00946B92" w:rsidRDefault="00770A9F" w:rsidP="001B1ABA">
      <w:pPr>
        <w:ind w:left="465"/>
        <w:rPr>
          <w:szCs w:val="22"/>
        </w:rPr>
      </w:pPr>
    </w:p>
    <w:p w:rsidR="00770A9F" w:rsidRPr="00946B92" w:rsidRDefault="00770A9F" w:rsidP="00AB6059">
      <w:pPr>
        <w:numPr>
          <w:ilvl w:val="0"/>
          <w:numId w:val="2"/>
        </w:numPr>
        <w:rPr>
          <w:b/>
          <w:szCs w:val="22"/>
          <w:u w:val="single"/>
        </w:rPr>
      </w:pPr>
      <w:r w:rsidRPr="00946B92">
        <w:rPr>
          <w:b/>
          <w:szCs w:val="22"/>
          <w:u w:val="single"/>
        </w:rPr>
        <w:t>Matters Arising</w:t>
      </w:r>
    </w:p>
    <w:p w:rsidR="00770A9F" w:rsidRPr="00946B92" w:rsidRDefault="00770A9F" w:rsidP="001B1ABA">
      <w:pPr>
        <w:rPr>
          <w:b/>
          <w:szCs w:val="22"/>
          <w:u w:val="single"/>
        </w:rPr>
      </w:pPr>
    </w:p>
    <w:p w:rsidR="00770A9F" w:rsidRPr="00946B92" w:rsidRDefault="00770A9F" w:rsidP="001B1ABA">
      <w:pPr>
        <w:ind w:left="465"/>
        <w:rPr>
          <w:szCs w:val="22"/>
        </w:rPr>
      </w:pPr>
    </w:p>
    <w:p w:rsidR="00770A9F" w:rsidRPr="00946B92" w:rsidRDefault="00770A9F" w:rsidP="00AB6059">
      <w:pPr>
        <w:numPr>
          <w:ilvl w:val="0"/>
          <w:numId w:val="2"/>
        </w:numPr>
        <w:rPr>
          <w:b/>
          <w:szCs w:val="22"/>
          <w:u w:val="single"/>
        </w:rPr>
      </w:pPr>
      <w:r w:rsidRPr="00946B92">
        <w:rPr>
          <w:b/>
          <w:szCs w:val="22"/>
          <w:u w:val="single"/>
        </w:rPr>
        <w:t>Other business</w:t>
      </w:r>
    </w:p>
    <w:p w:rsidR="00770A9F" w:rsidRPr="00946B92" w:rsidRDefault="00770A9F" w:rsidP="001B1ABA">
      <w:pPr>
        <w:rPr>
          <w:szCs w:val="22"/>
        </w:rPr>
      </w:pPr>
    </w:p>
    <w:p w:rsidR="00770A9F" w:rsidRPr="00946B92" w:rsidRDefault="00770A9F" w:rsidP="001B1ABA">
      <w:pPr>
        <w:ind w:left="465"/>
        <w:rPr>
          <w:szCs w:val="22"/>
        </w:rPr>
      </w:pPr>
    </w:p>
    <w:p w:rsidR="00770A9F" w:rsidRPr="00946B92" w:rsidRDefault="00770A9F" w:rsidP="00AB6059">
      <w:pPr>
        <w:numPr>
          <w:ilvl w:val="0"/>
          <w:numId w:val="2"/>
        </w:numPr>
        <w:rPr>
          <w:b/>
          <w:szCs w:val="22"/>
          <w:u w:val="single"/>
        </w:rPr>
      </w:pPr>
      <w:r w:rsidRPr="00946B92">
        <w:rPr>
          <w:b/>
          <w:szCs w:val="22"/>
          <w:u w:val="single"/>
        </w:rPr>
        <w:t>Other business for information</w:t>
      </w:r>
    </w:p>
    <w:p w:rsidR="00770A9F" w:rsidRPr="00946B92" w:rsidRDefault="00770A9F" w:rsidP="001B1ABA">
      <w:pPr>
        <w:rPr>
          <w:szCs w:val="22"/>
        </w:rPr>
      </w:pPr>
    </w:p>
    <w:p w:rsidR="00770A9F" w:rsidRPr="00946B92" w:rsidRDefault="00770A9F" w:rsidP="001B1ABA">
      <w:pPr>
        <w:ind w:left="465"/>
        <w:rPr>
          <w:szCs w:val="22"/>
        </w:rPr>
      </w:pPr>
    </w:p>
    <w:p w:rsidR="00770A9F" w:rsidRPr="00946B92" w:rsidRDefault="00770A9F" w:rsidP="00AB6059">
      <w:pPr>
        <w:numPr>
          <w:ilvl w:val="0"/>
          <w:numId w:val="2"/>
        </w:numPr>
        <w:rPr>
          <w:b/>
          <w:szCs w:val="22"/>
          <w:u w:val="single"/>
        </w:rPr>
      </w:pPr>
      <w:r w:rsidRPr="00946B92">
        <w:rPr>
          <w:b/>
          <w:szCs w:val="22"/>
          <w:u w:val="single"/>
        </w:rPr>
        <w:t>Any other business</w:t>
      </w:r>
    </w:p>
    <w:p w:rsidR="00770A9F" w:rsidRPr="00946B92" w:rsidRDefault="00770A9F" w:rsidP="001B1ABA">
      <w:pPr>
        <w:rPr>
          <w:szCs w:val="22"/>
        </w:rPr>
      </w:pPr>
    </w:p>
    <w:p w:rsidR="00770A9F" w:rsidRPr="00946B92" w:rsidRDefault="00770A9F" w:rsidP="001B1ABA">
      <w:pPr>
        <w:ind w:left="465"/>
        <w:rPr>
          <w:szCs w:val="22"/>
        </w:rPr>
      </w:pPr>
    </w:p>
    <w:p w:rsidR="00770A9F" w:rsidRDefault="00770A9F" w:rsidP="001B1ABA"/>
    <w:p w:rsidR="00770A9F" w:rsidRPr="007C79D4" w:rsidRDefault="00770A9F" w:rsidP="001B1ABA"/>
    <w:p w:rsidR="00C06097" w:rsidRPr="007C79D4" w:rsidRDefault="00E24E77" w:rsidP="001B1ABA">
      <w:r w:rsidRPr="007C79D4">
        <w:t xml:space="preserve">The meeting closed at </w:t>
      </w:r>
      <w:r w:rsidR="007C79D4" w:rsidRPr="007C79D4">
        <w:rPr>
          <w:rFonts w:cs="Arial"/>
          <w:szCs w:val="22"/>
          <w:lang w:val="en-NZ"/>
        </w:rPr>
        <w:t>3:15pm</w:t>
      </w:r>
      <w:r w:rsidRPr="007C79D4">
        <w:t>.</w:t>
      </w:r>
    </w:p>
    <w:sectPr w:rsidR="00C06097" w:rsidRPr="007C79D4"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79D" w:rsidRDefault="007E379D">
      <w:r>
        <w:separator/>
      </w:r>
    </w:p>
  </w:endnote>
  <w:endnote w:type="continuationSeparator" w:id="0">
    <w:p w:rsidR="007E379D" w:rsidRDefault="007E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F62" w:rsidRDefault="001A3F6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3F62" w:rsidRDefault="001A3F62"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1A3F62" w:rsidRPr="00977E7F" w:rsidTr="0081053D">
      <w:trPr>
        <w:trHeight w:val="282"/>
      </w:trPr>
      <w:tc>
        <w:tcPr>
          <w:tcW w:w="8623" w:type="dxa"/>
        </w:tcPr>
        <w:p w:rsidR="001A3F62" w:rsidRPr="00977E7F" w:rsidRDefault="001A3F6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March 2020</w:t>
          </w:r>
        </w:p>
      </w:tc>
      <w:tc>
        <w:tcPr>
          <w:tcW w:w="1638" w:type="dxa"/>
        </w:tcPr>
        <w:p w:rsidR="001A3F62" w:rsidRPr="00977E7F" w:rsidRDefault="001A3F6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1A3F62" w:rsidRPr="00BF6505" w:rsidRDefault="001A3F6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1A3F62" w:rsidRPr="00977E7F" w:rsidTr="0081053D">
      <w:trPr>
        <w:trHeight w:val="283"/>
      </w:trPr>
      <w:tc>
        <w:tcPr>
          <w:tcW w:w="8585" w:type="dxa"/>
        </w:tcPr>
        <w:p w:rsidR="001A3F62" w:rsidRPr="00977E7F" w:rsidRDefault="001A3F6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March 2020</w:t>
          </w:r>
        </w:p>
      </w:tc>
      <w:tc>
        <w:tcPr>
          <w:tcW w:w="1631" w:type="dxa"/>
        </w:tcPr>
        <w:p w:rsidR="001A3F62" w:rsidRPr="00977E7F" w:rsidRDefault="001A3F6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1A3F62" w:rsidRPr="00C91F3F" w:rsidRDefault="001A3F6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79D" w:rsidRDefault="007E379D">
      <w:r>
        <w:separator/>
      </w:r>
    </w:p>
  </w:footnote>
  <w:footnote w:type="continuationSeparator" w:id="0">
    <w:p w:rsidR="007E379D" w:rsidRDefault="007E3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5"/>
      <w:gridCol w:w="7925"/>
    </w:tblGrid>
    <w:tr w:rsidR="001A3F62" w:rsidTr="00987913">
      <w:trPr>
        <w:trHeight w:val="1079"/>
      </w:trPr>
      <w:tc>
        <w:tcPr>
          <w:tcW w:w="1914" w:type="dxa"/>
          <w:tcBorders>
            <w:bottom w:val="single" w:sz="4" w:space="0" w:color="auto"/>
          </w:tcBorders>
        </w:tcPr>
        <w:p w:rsidR="001A3F62" w:rsidRPr="00987913" w:rsidRDefault="00BB59B7" w:rsidP="00987913">
          <w:pPr>
            <w:pStyle w:val="Heading1"/>
          </w:pPr>
          <w:r>
            <w:rPr>
              <w:noProof/>
            </w:rPr>
            <w:drawing>
              <wp:inline distT="0" distB="0" distL="0" distR="0">
                <wp:extent cx="1078230" cy="715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715010"/>
                        </a:xfrm>
                        <a:prstGeom prst="rect">
                          <a:avLst/>
                        </a:prstGeom>
                        <a:noFill/>
                        <a:ln>
                          <a:noFill/>
                        </a:ln>
                      </pic:spPr>
                    </pic:pic>
                  </a:graphicData>
                </a:graphic>
              </wp:inline>
            </w:drawing>
          </w:r>
        </w:p>
      </w:tc>
      <w:tc>
        <w:tcPr>
          <w:tcW w:w="7986" w:type="dxa"/>
          <w:tcBorders>
            <w:bottom w:val="single" w:sz="4" w:space="0" w:color="auto"/>
          </w:tcBorders>
          <w:vAlign w:val="bottom"/>
        </w:tcPr>
        <w:p w:rsidR="001A3F62" w:rsidRPr="00987913" w:rsidRDefault="001A3F62" w:rsidP="00987913">
          <w:pPr>
            <w:pStyle w:val="Heading1"/>
          </w:pPr>
          <w:r>
            <w:tab/>
            <w:t>Minutes</w:t>
          </w:r>
        </w:p>
      </w:tc>
    </w:tr>
  </w:tbl>
  <w:p w:rsidR="001A3F62" w:rsidRDefault="001A3F62"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766E"/>
    <w:multiLevelType w:val="hybridMultilevel"/>
    <w:tmpl w:val="1CF89B8C"/>
    <w:lvl w:ilvl="0" w:tplc="B6C42A2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405716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F07CD9"/>
    <w:multiLevelType w:val="hybridMultilevel"/>
    <w:tmpl w:val="04F8100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EE23666"/>
    <w:multiLevelType w:val="hybridMultilevel"/>
    <w:tmpl w:val="3DBEF468"/>
    <w:lvl w:ilvl="0" w:tplc="B6C42A2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EF74B8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1DA1A72"/>
    <w:multiLevelType w:val="hybridMultilevel"/>
    <w:tmpl w:val="919ED58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42420E6"/>
    <w:multiLevelType w:val="hybridMultilevel"/>
    <w:tmpl w:val="A3928BF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45348A0"/>
    <w:multiLevelType w:val="hybridMultilevel"/>
    <w:tmpl w:val="0CE60F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DEC54CA"/>
    <w:multiLevelType w:val="hybridMultilevel"/>
    <w:tmpl w:val="0770D69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39202DA"/>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52E2F8D"/>
    <w:multiLevelType w:val="hybridMultilevel"/>
    <w:tmpl w:val="0624168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15:restartNumberingAfterBreak="0">
    <w:nsid w:val="4E4331B8"/>
    <w:multiLevelType w:val="hybridMultilevel"/>
    <w:tmpl w:val="04F8100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E2F0BF6"/>
    <w:multiLevelType w:val="hybridMultilevel"/>
    <w:tmpl w:val="E3EA1C70"/>
    <w:lvl w:ilvl="0" w:tplc="B6C42A2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66673FD0"/>
    <w:multiLevelType w:val="hybridMultilevel"/>
    <w:tmpl w:val="C432592A"/>
    <w:lvl w:ilvl="0" w:tplc="B6C42A2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C2E65B7"/>
    <w:multiLevelType w:val="hybridMultilevel"/>
    <w:tmpl w:val="C9D8109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6D470536"/>
    <w:multiLevelType w:val="hybridMultilevel"/>
    <w:tmpl w:val="DC28824A"/>
    <w:lvl w:ilvl="0" w:tplc="12F6A5D8">
      <w:start w:val="1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81D349B"/>
    <w:multiLevelType w:val="hybridMultilevel"/>
    <w:tmpl w:val="D9CCF2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7B0D7B36"/>
    <w:multiLevelType w:val="hybridMultilevel"/>
    <w:tmpl w:val="67D6E216"/>
    <w:lvl w:ilvl="0" w:tplc="28243F78">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C2453AD"/>
    <w:multiLevelType w:val="hybridMultilevel"/>
    <w:tmpl w:val="B380C0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9"/>
  </w:num>
  <w:num w:numId="3">
    <w:abstractNumId w:val="14"/>
  </w:num>
  <w:num w:numId="4">
    <w:abstractNumId w:val="10"/>
  </w:num>
  <w:num w:numId="5">
    <w:abstractNumId w:val="20"/>
  </w:num>
  <w:num w:numId="6">
    <w:abstractNumId w:val="1"/>
  </w:num>
  <w:num w:numId="7">
    <w:abstractNumId w:val="4"/>
  </w:num>
  <w:num w:numId="8">
    <w:abstractNumId w:val="13"/>
  </w:num>
  <w:num w:numId="9">
    <w:abstractNumId w:val="22"/>
  </w:num>
  <w:num w:numId="10">
    <w:abstractNumId w:val="19"/>
  </w:num>
  <w:num w:numId="11">
    <w:abstractNumId w:val="2"/>
  </w:num>
  <w:num w:numId="12">
    <w:abstractNumId w:val="5"/>
  </w:num>
  <w:num w:numId="13">
    <w:abstractNumId w:val="11"/>
  </w:num>
  <w:num w:numId="14">
    <w:abstractNumId w:val="23"/>
  </w:num>
  <w:num w:numId="15">
    <w:abstractNumId w:val="7"/>
  </w:num>
  <w:num w:numId="16">
    <w:abstractNumId w:val="15"/>
  </w:num>
  <w:num w:numId="17">
    <w:abstractNumId w:val="0"/>
  </w:num>
  <w:num w:numId="18">
    <w:abstractNumId w:val="17"/>
  </w:num>
  <w:num w:numId="19">
    <w:abstractNumId w:val="3"/>
  </w:num>
  <w:num w:numId="20">
    <w:abstractNumId w:val="16"/>
  </w:num>
  <w:num w:numId="21">
    <w:abstractNumId w:val="12"/>
  </w:num>
  <w:num w:numId="22">
    <w:abstractNumId w:val="21"/>
  </w:num>
  <w:num w:numId="23">
    <w:abstractNumId w:val="6"/>
  </w:num>
  <w:num w:numId="24">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4BE1"/>
    <w:rsid w:val="00030E73"/>
    <w:rsid w:val="00036BE9"/>
    <w:rsid w:val="00051B4F"/>
    <w:rsid w:val="00064773"/>
    <w:rsid w:val="000676FB"/>
    <w:rsid w:val="000732A9"/>
    <w:rsid w:val="00082758"/>
    <w:rsid w:val="00083D73"/>
    <w:rsid w:val="000B2F36"/>
    <w:rsid w:val="000F2F24"/>
    <w:rsid w:val="0011026E"/>
    <w:rsid w:val="00116C92"/>
    <w:rsid w:val="00121262"/>
    <w:rsid w:val="001260F1"/>
    <w:rsid w:val="00142A63"/>
    <w:rsid w:val="00161AF4"/>
    <w:rsid w:val="00184D6C"/>
    <w:rsid w:val="001853FE"/>
    <w:rsid w:val="0018623C"/>
    <w:rsid w:val="001A3A93"/>
    <w:rsid w:val="001A3F62"/>
    <w:rsid w:val="001A422A"/>
    <w:rsid w:val="001B1ABA"/>
    <w:rsid w:val="001B6362"/>
    <w:rsid w:val="001E29B4"/>
    <w:rsid w:val="001F1E54"/>
    <w:rsid w:val="001F3A91"/>
    <w:rsid w:val="00204AC4"/>
    <w:rsid w:val="002070A8"/>
    <w:rsid w:val="00231750"/>
    <w:rsid w:val="00243A5D"/>
    <w:rsid w:val="0025574F"/>
    <w:rsid w:val="00276B34"/>
    <w:rsid w:val="00285CB4"/>
    <w:rsid w:val="002A365B"/>
    <w:rsid w:val="002A5565"/>
    <w:rsid w:val="003545AE"/>
    <w:rsid w:val="00375C2D"/>
    <w:rsid w:val="00381DF9"/>
    <w:rsid w:val="003A5713"/>
    <w:rsid w:val="003A5D1E"/>
    <w:rsid w:val="003D40DF"/>
    <w:rsid w:val="003E3E13"/>
    <w:rsid w:val="00404347"/>
    <w:rsid w:val="00415ABA"/>
    <w:rsid w:val="00435DD0"/>
    <w:rsid w:val="00436F07"/>
    <w:rsid w:val="00457752"/>
    <w:rsid w:val="0047482A"/>
    <w:rsid w:val="004A4A34"/>
    <w:rsid w:val="004B1081"/>
    <w:rsid w:val="004B7466"/>
    <w:rsid w:val="004C24F7"/>
    <w:rsid w:val="004D7651"/>
    <w:rsid w:val="004E37FE"/>
    <w:rsid w:val="004E4133"/>
    <w:rsid w:val="004E4602"/>
    <w:rsid w:val="00501A66"/>
    <w:rsid w:val="00504A7B"/>
    <w:rsid w:val="00522B40"/>
    <w:rsid w:val="00537A85"/>
    <w:rsid w:val="00564080"/>
    <w:rsid w:val="005866BA"/>
    <w:rsid w:val="00593C77"/>
    <w:rsid w:val="00595113"/>
    <w:rsid w:val="005D3F05"/>
    <w:rsid w:val="005D4E8F"/>
    <w:rsid w:val="005D669D"/>
    <w:rsid w:val="005D762A"/>
    <w:rsid w:val="00666481"/>
    <w:rsid w:val="00680B7B"/>
    <w:rsid w:val="00691B35"/>
    <w:rsid w:val="0069646A"/>
    <w:rsid w:val="006A496D"/>
    <w:rsid w:val="006B1823"/>
    <w:rsid w:val="006C4833"/>
    <w:rsid w:val="006D4840"/>
    <w:rsid w:val="006E1622"/>
    <w:rsid w:val="0072793E"/>
    <w:rsid w:val="007433D6"/>
    <w:rsid w:val="007457C8"/>
    <w:rsid w:val="00753E2C"/>
    <w:rsid w:val="00770A9F"/>
    <w:rsid w:val="00795EDD"/>
    <w:rsid w:val="007970F3"/>
    <w:rsid w:val="007A37A4"/>
    <w:rsid w:val="007A6B47"/>
    <w:rsid w:val="007C79D4"/>
    <w:rsid w:val="007D5756"/>
    <w:rsid w:val="007E379D"/>
    <w:rsid w:val="007F56D5"/>
    <w:rsid w:val="0080327B"/>
    <w:rsid w:val="0081053D"/>
    <w:rsid w:val="00826455"/>
    <w:rsid w:val="00841276"/>
    <w:rsid w:val="008444A3"/>
    <w:rsid w:val="008869BB"/>
    <w:rsid w:val="0088735C"/>
    <w:rsid w:val="00894BEA"/>
    <w:rsid w:val="008C6717"/>
    <w:rsid w:val="008D61B5"/>
    <w:rsid w:val="008E26A8"/>
    <w:rsid w:val="008F7153"/>
    <w:rsid w:val="00911213"/>
    <w:rsid w:val="00932E8C"/>
    <w:rsid w:val="00946B92"/>
    <w:rsid w:val="009513F0"/>
    <w:rsid w:val="0095616F"/>
    <w:rsid w:val="00960BFE"/>
    <w:rsid w:val="00965308"/>
    <w:rsid w:val="009706C6"/>
    <w:rsid w:val="00977E7F"/>
    <w:rsid w:val="0098032A"/>
    <w:rsid w:val="00987913"/>
    <w:rsid w:val="00987A4A"/>
    <w:rsid w:val="009A74FD"/>
    <w:rsid w:val="009B31F7"/>
    <w:rsid w:val="009C51DB"/>
    <w:rsid w:val="00A025C0"/>
    <w:rsid w:val="00A05D1F"/>
    <w:rsid w:val="00A51639"/>
    <w:rsid w:val="00A723C2"/>
    <w:rsid w:val="00A73C4C"/>
    <w:rsid w:val="00A84630"/>
    <w:rsid w:val="00A863CC"/>
    <w:rsid w:val="00A92ADA"/>
    <w:rsid w:val="00A9572D"/>
    <w:rsid w:val="00AA1DFD"/>
    <w:rsid w:val="00AA79BD"/>
    <w:rsid w:val="00AB51B7"/>
    <w:rsid w:val="00AB6059"/>
    <w:rsid w:val="00AD4140"/>
    <w:rsid w:val="00AF0EF2"/>
    <w:rsid w:val="00B0360C"/>
    <w:rsid w:val="00B13B86"/>
    <w:rsid w:val="00B50A97"/>
    <w:rsid w:val="00B73414"/>
    <w:rsid w:val="00B92E04"/>
    <w:rsid w:val="00B9519E"/>
    <w:rsid w:val="00BA1F24"/>
    <w:rsid w:val="00BB59B7"/>
    <w:rsid w:val="00BD0129"/>
    <w:rsid w:val="00BE5262"/>
    <w:rsid w:val="00BF0C33"/>
    <w:rsid w:val="00BF0FB3"/>
    <w:rsid w:val="00BF338D"/>
    <w:rsid w:val="00BF6505"/>
    <w:rsid w:val="00C06097"/>
    <w:rsid w:val="00C0708F"/>
    <w:rsid w:val="00C33B1E"/>
    <w:rsid w:val="00C54E16"/>
    <w:rsid w:val="00C61CCD"/>
    <w:rsid w:val="00C67150"/>
    <w:rsid w:val="00C85A28"/>
    <w:rsid w:val="00C91F3F"/>
    <w:rsid w:val="00C971DD"/>
    <w:rsid w:val="00CF4308"/>
    <w:rsid w:val="00D03031"/>
    <w:rsid w:val="00D11BE7"/>
    <w:rsid w:val="00D12113"/>
    <w:rsid w:val="00D154FC"/>
    <w:rsid w:val="00D3417F"/>
    <w:rsid w:val="00D37B67"/>
    <w:rsid w:val="00D41692"/>
    <w:rsid w:val="00D601C8"/>
    <w:rsid w:val="00D62F79"/>
    <w:rsid w:val="00D80C93"/>
    <w:rsid w:val="00DB032B"/>
    <w:rsid w:val="00DB5DD5"/>
    <w:rsid w:val="00DC35A3"/>
    <w:rsid w:val="00DC4D0C"/>
    <w:rsid w:val="00DC62A5"/>
    <w:rsid w:val="00DD02FF"/>
    <w:rsid w:val="00DD1BA0"/>
    <w:rsid w:val="00DF4467"/>
    <w:rsid w:val="00DF5AA4"/>
    <w:rsid w:val="00E07948"/>
    <w:rsid w:val="00E20390"/>
    <w:rsid w:val="00E24E77"/>
    <w:rsid w:val="00E528A1"/>
    <w:rsid w:val="00E739D2"/>
    <w:rsid w:val="00E758A7"/>
    <w:rsid w:val="00E7725C"/>
    <w:rsid w:val="00EA6A1B"/>
    <w:rsid w:val="00EC068C"/>
    <w:rsid w:val="00F325F7"/>
    <w:rsid w:val="00F346D4"/>
    <w:rsid w:val="00F36432"/>
    <w:rsid w:val="00F9451C"/>
    <w:rsid w:val="00F945B4"/>
    <w:rsid w:val="00FA7539"/>
    <w:rsid w:val="00FD1CC0"/>
    <w:rsid w:val="00FD2B1E"/>
    <w:rsid w:val="00FD5139"/>
    <w:rsid w:val="00FF5069"/>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15:docId w15:val="{43C5633F-2679-4AD4-9097-E7D50994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36432"/>
    <w:pPr>
      <w:ind w:left="720"/>
      <w:contextualSpacing/>
    </w:pPr>
  </w:style>
  <w:style w:type="character" w:styleId="Hyperlink">
    <w:name w:val="Hyperlink"/>
    <w:basedOn w:val="DefaultParagraphFont"/>
    <w:rsid w:val="00C61CCD"/>
    <w:rPr>
      <w:color w:val="0000FF" w:themeColor="hyperlink"/>
      <w:u w:val="single"/>
    </w:rPr>
  </w:style>
  <w:style w:type="character" w:styleId="UnresolvedMention">
    <w:name w:val="Unresolved Mention"/>
    <w:basedOn w:val="DefaultParagraphFont"/>
    <w:uiPriority w:val="99"/>
    <w:semiHidden/>
    <w:unhideWhenUsed/>
    <w:rsid w:val="00C61CCD"/>
    <w:rPr>
      <w:color w:val="605E5C"/>
      <w:shd w:val="clear" w:color="auto" w:fill="E1DFDD"/>
    </w:rPr>
  </w:style>
  <w:style w:type="paragraph" w:styleId="Quote">
    <w:name w:val="Quote"/>
    <w:basedOn w:val="Normal"/>
    <w:next w:val="Normal"/>
    <w:link w:val="QuoteChar"/>
    <w:uiPriority w:val="29"/>
    <w:qFormat/>
    <w:rsid w:val="0069646A"/>
    <w:pPr>
      <w:spacing w:before="200" w:after="160"/>
      <w:ind w:left="864" w:right="864"/>
      <w:jc w:val="center"/>
    </w:pPr>
    <w:rPr>
      <w:i/>
      <w:iCs/>
      <w:color w:val="404040"/>
    </w:rPr>
  </w:style>
  <w:style w:type="character" w:customStyle="1" w:styleId="QuoteChar">
    <w:name w:val="Quote Char"/>
    <w:basedOn w:val="DefaultParagraphFont"/>
    <w:link w:val="Quote"/>
    <w:uiPriority w:val="29"/>
    <w:rsid w:val="0069646A"/>
    <w:rPr>
      <w:rFonts w:ascii="Arial" w:hAnsi="Arial"/>
      <w:i/>
      <w:iCs/>
      <w:color w:val="404040"/>
      <w:sz w:val="22"/>
      <w:lang w:val="en-GB" w:eastAsia="en-US"/>
    </w:rPr>
  </w:style>
  <w:style w:type="paragraph" w:styleId="Revision">
    <w:name w:val="Revision"/>
    <w:hidden/>
    <w:uiPriority w:val="99"/>
    <w:semiHidden/>
    <w:rsid w:val="00AA1DFD"/>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vocacy@advocacy.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B31B6-4B59-4301-BB1F-E12F41EE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552A8DBF</Template>
  <TotalTime>0</TotalTime>
  <Pages>17</Pages>
  <Words>4127</Words>
  <Characters>23333</Characters>
  <Application>Microsoft Office Word</Application>
  <DocSecurity>4</DocSecurity>
  <Lines>194</Lines>
  <Paragraphs>54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2020-05-13T04:55:00Z</dcterms:created>
  <dcterms:modified xsi:type="dcterms:W3CDTF">2020-05-13T04:55:00Z</dcterms:modified>
</cp:coreProperties>
</file>